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A192" w14:textId="734D9EC1" w:rsidR="006F00FC" w:rsidRPr="00F8524A" w:rsidRDefault="0076067E" w:rsidP="0000689E">
      <w:pPr>
        <w:pStyle w:val="Header"/>
        <w:tabs>
          <w:tab w:val="clear" w:pos="4153"/>
          <w:tab w:val="clear" w:pos="8306"/>
        </w:tabs>
        <w:jc w:val="both"/>
        <w:rPr>
          <w:rFonts w:cs="Arial"/>
          <w:b/>
          <w:bCs/>
          <w:szCs w:val="24"/>
        </w:rPr>
      </w:pPr>
      <w:r>
        <w:rPr>
          <w:rFonts w:cs="Arial"/>
          <w:b/>
          <w:bCs/>
          <w:noProof/>
          <w:szCs w:val="24"/>
          <w:lang w:val="en-US"/>
        </w:rPr>
        <w:drawing>
          <wp:anchor distT="0" distB="0" distL="114300" distR="114300" simplePos="0" relativeHeight="251657728" behindDoc="1" locked="0" layoutInCell="1" allowOverlap="1" wp14:anchorId="1A5DE937" wp14:editId="753E54F1">
            <wp:simplePos x="0" y="0"/>
            <wp:positionH relativeFrom="column">
              <wp:posOffset>-540385</wp:posOffset>
            </wp:positionH>
            <wp:positionV relativeFrom="paragraph">
              <wp:posOffset>-457200</wp:posOffset>
            </wp:positionV>
            <wp:extent cx="7581900" cy="1104900"/>
            <wp:effectExtent l="0" t="0" r="0" b="0"/>
            <wp:wrapTight wrapText="bothSides">
              <wp:wrapPolygon edited="0">
                <wp:start x="0" y="0"/>
                <wp:lineTo x="0" y="21228"/>
                <wp:lineTo x="21546" y="21228"/>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0" cy="1104900"/>
                    </a:xfrm>
                    <a:prstGeom prst="rect">
                      <a:avLst/>
                    </a:prstGeom>
                    <a:noFill/>
                  </pic:spPr>
                </pic:pic>
              </a:graphicData>
            </a:graphic>
            <wp14:sizeRelH relativeFrom="page">
              <wp14:pctWidth>0</wp14:pctWidth>
            </wp14:sizeRelH>
            <wp14:sizeRelV relativeFrom="page">
              <wp14:pctHeight>0</wp14:pctHeight>
            </wp14:sizeRelV>
          </wp:anchor>
        </w:drawing>
      </w:r>
    </w:p>
    <w:p w14:paraId="254005FA" w14:textId="77777777" w:rsidR="00393BFD" w:rsidRPr="00F8524A" w:rsidRDefault="00393BFD" w:rsidP="0000689E">
      <w:pPr>
        <w:pStyle w:val="Header"/>
        <w:tabs>
          <w:tab w:val="clear" w:pos="4153"/>
          <w:tab w:val="clear" w:pos="8306"/>
        </w:tabs>
        <w:jc w:val="both"/>
        <w:rPr>
          <w:rFonts w:cs="Arial"/>
          <w:b/>
          <w:bCs/>
          <w:szCs w:val="24"/>
        </w:rPr>
      </w:pPr>
      <w:r w:rsidRPr="00F8524A">
        <w:rPr>
          <w:rFonts w:cs="Arial"/>
          <w:b/>
          <w:bCs/>
          <w:szCs w:val="24"/>
        </w:rPr>
        <w:t>HARROW COUNCIL</w:t>
      </w:r>
    </w:p>
    <w:p w14:paraId="24321A8B" w14:textId="77777777" w:rsidR="00393BFD" w:rsidRPr="00F8524A" w:rsidRDefault="00393BFD" w:rsidP="0000689E">
      <w:pPr>
        <w:pStyle w:val="Header"/>
        <w:tabs>
          <w:tab w:val="clear" w:pos="4153"/>
          <w:tab w:val="clear" w:pos="8306"/>
        </w:tabs>
        <w:jc w:val="both"/>
        <w:rPr>
          <w:rFonts w:cs="Arial"/>
          <w:b/>
          <w:bCs/>
          <w:szCs w:val="24"/>
        </w:rPr>
      </w:pPr>
    </w:p>
    <w:p w14:paraId="31311CBD" w14:textId="3475BDF0" w:rsidR="00393BFD" w:rsidRPr="00F8524A" w:rsidRDefault="00393BFD" w:rsidP="0000689E">
      <w:pPr>
        <w:pStyle w:val="Header"/>
        <w:tabs>
          <w:tab w:val="clear" w:pos="4153"/>
          <w:tab w:val="clear" w:pos="8306"/>
        </w:tabs>
        <w:jc w:val="both"/>
        <w:rPr>
          <w:rFonts w:cs="Arial"/>
          <w:b/>
          <w:bCs/>
          <w:szCs w:val="24"/>
        </w:rPr>
      </w:pPr>
      <w:r w:rsidRPr="00F8524A">
        <w:rPr>
          <w:rFonts w:cs="Arial"/>
          <w:b/>
          <w:bCs/>
          <w:szCs w:val="24"/>
        </w:rPr>
        <w:t>ADDENDUM</w:t>
      </w:r>
    </w:p>
    <w:p w14:paraId="44285B1F" w14:textId="77777777" w:rsidR="00393BFD" w:rsidRPr="00F8524A" w:rsidRDefault="00393BFD" w:rsidP="0000689E">
      <w:pPr>
        <w:pStyle w:val="Header"/>
        <w:tabs>
          <w:tab w:val="clear" w:pos="4153"/>
          <w:tab w:val="clear" w:pos="8306"/>
        </w:tabs>
        <w:jc w:val="both"/>
        <w:rPr>
          <w:rFonts w:cs="Arial"/>
          <w:b/>
          <w:bCs/>
          <w:szCs w:val="24"/>
        </w:rPr>
      </w:pPr>
    </w:p>
    <w:p w14:paraId="5B3C93A5" w14:textId="77777777" w:rsidR="00393BFD" w:rsidRPr="00F8524A" w:rsidRDefault="00393BFD" w:rsidP="0000689E">
      <w:pPr>
        <w:pStyle w:val="Header"/>
        <w:tabs>
          <w:tab w:val="clear" w:pos="4153"/>
          <w:tab w:val="clear" w:pos="8306"/>
        </w:tabs>
        <w:jc w:val="both"/>
        <w:rPr>
          <w:rFonts w:cs="Arial"/>
          <w:b/>
          <w:bCs/>
          <w:szCs w:val="24"/>
        </w:rPr>
      </w:pPr>
      <w:r w:rsidRPr="00F8524A">
        <w:rPr>
          <w:rFonts w:cs="Arial"/>
          <w:b/>
          <w:bCs/>
          <w:szCs w:val="24"/>
        </w:rPr>
        <w:t xml:space="preserve">PLANNING COMMITTEE </w:t>
      </w:r>
    </w:p>
    <w:p w14:paraId="3DF9038C" w14:textId="77777777" w:rsidR="00393BFD" w:rsidRPr="00F8524A" w:rsidRDefault="00393BFD" w:rsidP="0000689E">
      <w:pPr>
        <w:pStyle w:val="Header"/>
        <w:tabs>
          <w:tab w:val="clear" w:pos="4153"/>
          <w:tab w:val="clear" w:pos="8306"/>
        </w:tabs>
        <w:jc w:val="both"/>
        <w:rPr>
          <w:rFonts w:cs="Arial"/>
          <w:b/>
          <w:bCs/>
          <w:szCs w:val="24"/>
        </w:rPr>
      </w:pPr>
    </w:p>
    <w:p w14:paraId="38DD811D" w14:textId="60E72776" w:rsidR="00BF5551" w:rsidRDefault="00393BFD" w:rsidP="00F26215">
      <w:pPr>
        <w:pStyle w:val="Header"/>
        <w:tabs>
          <w:tab w:val="clear" w:pos="4153"/>
          <w:tab w:val="clear" w:pos="8306"/>
        </w:tabs>
        <w:jc w:val="both"/>
        <w:rPr>
          <w:rFonts w:cs="Arial"/>
          <w:b/>
          <w:bCs/>
          <w:szCs w:val="24"/>
        </w:rPr>
      </w:pPr>
      <w:r w:rsidRPr="00F8524A">
        <w:rPr>
          <w:rFonts w:cs="Arial"/>
          <w:b/>
          <w:bCs/>
          <w:szCs w:val="24"/>
        </w:rPr>
        <w:t>DAT</w:t>
      </w:r>
      <w:r w:rsidR="00F26215">
        <w:rPr>
          <w:rFonts w:cs="Arial"/>
          <w:b/>
          <w:bCs/>
          <w:szCs w:val="24"/>
        </w:rPr>
        <w:t>E:  16 MARCH 2022</w:t>
      </w:r>
    </w:p>
    <w:p w14:paraId="641F61C5" w14:textId="22F6A912" w:rsidR="00F26215" w:rsidRDefault="00F26215" w:rsidP="00F26215">
      <w:pPr>
        <w:pStyle w:val="Header"/>
        <w:tabs>
          <w:tab w:val="clear" w:pos="4153"/>
          <w:tab w:val="clear" w:pos="8306"/>
        </w:tabs>
        <w:jc w:val="both"/>
        <w:rPr>
          <w:rFonts w:cs="Arial"/>
          <w:szCs w:val="24"/>
        </w:rPr>
      </w:pPr>
    </w:p>
    <w:p w14:paraId="6BC0DD98" w14:textId="77777777" w:rsidR="00F26215" w:rsidRPr="00F8524A" w:rsidRDefault="00F26215" w:rsidP="00F26215">
      <w:pPr>
        <w:pStyle w:val="Header"/>
        <w:tabs>
          <w:tab w:val="clear" w:pos="4153"/>
          <w:tab w:val="clear" w:pos="8306"/>
        </w:tabs>
        <w:jc w:val="both"/>
        <w:rPr>
          <w:rFonts w:cs="Arial"/>
          <w:szCs w:val="24"/>
        </w:rPr>
      </w:pPr>
    </w:p>
    <w:tbl>
      <w:tblPr>
        <w:tblW w:w="104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9599"/>
      </w:tblGrid>
      <w:tr w:rsidR="00214248" w:rsidRPr="00F8524A" w14:paraId="67B39436" w14:textId="77777777" w:rsidTr="0076067E">
        <w:tc>
          <w:tcPr>
            <w:tcW w:w="862" w:type="dxa"/>
          </w:tcPr>
          <w:p w14:paraId="24AF093B" w14:textId="6E936D5D" w:rsidR="00214248" w:rsidRPr="00F8524A" w:rsidRDefault="00F26215" w:rsidP="00EA7CBB">
            <w:pPr>
              <w:tabs>
                <w:tab w:val="left" w:pos="4962"/>
                <w:tab w:val="left" w:pos="7655"/>
              </w:tabs>
              <w:ind w:right="45"/>
              <w:rPr>
                <w:rFonts w:cs="Arial"/>
                <w:b/>
                <w:bCs/>
                <w:szCs w:val="24"/>
              </w:rPr>
            </w:pPr>
            <w:r>
              <w:rPr>
                <w:rFonts w:cs="Arial"/>
                <w:b/>
                <w:bCs/>
                <w:szCs w:val="24"/>
              </w:rPr>
              <w:t>2/01</w:t>
            </w:r>
          </w:p>
        </w:tc>
        <w:tc>
          <w:tcPr>
            <w:tcW w:w="9599" w:type="dxa"/>
            <w:shd w:val="clear" w:color="auto" w:fill="auto"/>
          </w:tcPr>
          <w:p w14:paraId="2B6371AA" w14:textId="77777777" w:rsidR="00214248" w:rsidRDefault="00F26215" w:rsidP="008406A9">
            <w:pPr>
              <w:pStyle w:val="Header"/>
              <w:tabs>
                <w:tab w:val="clear" w:pos="4153"/>
                <w:tab w:val="clear" w:pos="8306"/>
              </w:tabs>
              <w:jc w:val="both"/>
              <w:rPr>
                <w:rFonts w:cs="Arial"/>
                <w:b/>
                <w:bCs/>
                <w:szCs w:val="24"/>
              </w:rPr>
            </w:pPr>
            <w:r>
              <w:rPr>
                <w:rFonts w:cs="Arial"/>
                <w:b/>
                <w:bCs/>
                <w:szCs w:val="24"/>
              </w:rPr>
              <w:t>190-194 Northolt Road</w:t>
            </w:r>
          </w:p>
          <w:p w14:paraId="6E36D50D" w14:textId="77777777" w:rsidR="00F26215" w:rsidRDefault="00F26215" w:rsidP="008406A9">
            <w:pPr>
              <w:pStyle w:val="Header"/>
              <w:tabs>
                <w:tab w:val="clear" w:pos="4153"/>
                <w:tab w:val="clear" w:pos="8306"/>
              </w:tabs>
              <w:jc w:val="both"/>
              <w:rPr>
                <w:rFonts w:cs="Arial"/>
                <w:b/>
                <w:bCs/>
                <w:szCs w:val="24"/>
              </w:rPr>
            </w:pPr>
          </w:p>
          <w:p w14:paraId="0891A0FB" w14:textId="77777777" w:rsidR="00F26215" w:rsidRPr="00F26215" w:rsidRDefault="00F26215" w:rsidP="00F26215">
            <w:pPr>
              <w:jc w:val="both"/>
              <w:rPr>
                <w:rFonts w:cs="Arial"/>
                <w:b/>
                <w:bCs/>
                <w:szCs w:val="24"/>
                <w:u w:val="single"/>
              </w:rPr>
            </w:pPr>
            <w:r w:rsidRPr="00F26215">
              <w:rPr>
                <w:rFonts w:cs="Arial"/>
                <w:b/>
                <w:bCs/>
                <w:szCs w:val="24"/>
                <w:u w:val="single"/>
              </w:rPr>
              <w:t>Addendum Item 1:</w:t>
            </w:r>
          </w:p>
          <w:p w14:paraId="55D96F76" w14:textId="77777777" w:rsidR="00F26215" w:rsidRPr="00F26215" w:rsidRDefault="00F26215" w:rsidP="00F26215">
            <w:pPr>
              <w:jc w:val="both"/>
              <w:rPr>
                <w:rFonts w:cs="Arial"/>
                <w:b/>
                <w:bCs/>
                <w:szCs w:val="24"/>
                <w:u w:val="single"/>
              </w:rPr>
            </w:pPr>
          </w:p>
          <w:p w14:paraId="1195D724" w14:textId="77777777" w:rsidR="00F26215" w:rsidRPr="00F26215" w:rsidRDefault="00F26215" w:rsidP="00F26215">
            <w:pPr>
              <w:jc w:val="both"/>
              <w:rPr>
                <w:rFonts w:cs="Arial"/>
                <w:szCs w:val="24"/>
              </w:rPr>
            </w:pPr>
            <w:r w:rsidRPr="00F26215">
              <w:rPr>
                <w:rFonts w:cs="Arial"/>
                <w:szCs w:val="24"/>
              </w:rPr>
              <w:t>On the 9</w:t>
            </w:r>
            <w:r w:rsidRPr="00F26215">
              <w:rPr>
                <w:rFonts w:cs="Arial"/>
                <w:szCs w:val="24"/>
                <w:vertAlign w:val="superscript"/>
              </w:rPr>
              <w:t>th</w:t>
            </w:r>
            <w:r w:rsidRPr="00F26215">
              <w:rPr>
                <w:rFonts w:cs="Arial"/>
                <w:szCs w:val="24"/>
              </w:rPr>
              <w:t xml:space="preserve"> March 2022 the Council’s Landscape Officer provided comments, which are outlined below with a the planning officer’s comments where necessary: </w:t>
            </w:r>
          </w:p>
          <w:p w14:paraId="3C6B2851" w14:textId="77777777" w:rsidR="00F26215" w:rsidRPr="00F26215" w:rsidRDefault="00F26215" w:rsidP="00F26215">
            <w:pPr>
              <w:jc w:val="both"/>
              <w:rPr>
                <w:rFonts w:cs="Arial"/>
                <w:szCs w:val="24"/>
              </w:rPr>
            </w:pPr>
          </w:p>
          <w:p w14:paraId="75F673A7" w14:textId="77777777" w:rsidR="00F26215" w:rsidRPr="00F26215" w:rsidRDefault="00F26215" w:rsidP="00F26215">
            <w:pPr>
              <w:numPr>
                <w:ilvl w:val="0"/>
                <w:numId w:val="48"/>
              </w:numPr>
              <w:rPr>
                <w:rFonts w:ascii="Calibri" w:hAnsi="Calibri" w:cs="Calibri"/>
                <w:i/>
                <w:iCs/>
                <w:sz w:val="22"/>
                <w:szCs w:val="22"/>
              </w:rPr>
            </w:pPr>
            <w:r w:rsidRPr="00F26215">
              <w:rPr>
                <w:rFonts w:ascii="Calibri" w:hAnsi="Calibri" w:cs="Calibri"/>
                <w:i/>
                <w:iCs/>
                <w:sz w:val="22"/>
                <w:szCs w:val="22"/>
              </w:rPr>
              <w:t xml:space="preserve">The application for 190-194  seems to cover this but there is also reference to 190 – 200 Northolt Road? Elevations are shown for the whole length. Page 15 – of the Greengage Biodiversity report shows a site plan as proposed of 196 Northolt Road – dwg L (01) 010 Rev P03 – which is not the site – 190-194 Northolt Road. Greengage reports and letters refer to 96 Northolt Road and 196 Northolt Road – this isn’t the same as the Planning application site. I note there is an application for 198-200 Northolt Road P/2431/21. </w:t>
            </w:r>
          </w:p>
          <w:p w14:paraId="0ABFD1C5" w14:textId="77777777" w:rsidR="00F26215" w:rsidRPr="00F26215" w:rsidRDefault="00F26215" w:rsidP="00F26215"/>
          <w:p w14:paraId="7BDF2F08" w14:textId="77777777" w:rsidR="00F26215" w:rsidRPr="00F26215" w:rsidRDefault="00F26215" w:rsidP="00F26215">
            <w:r w:rsidRPr="00F26215">
              <w:rPr>
                <w:b/>
                <w:bCs/>
              </w:rPr>
              <w:t xml:space="preserve">Officer’s Comment: </w:t>
            </w:r>
            <w:r w:rsidRPr="00F26215">
              <w:t xml:space="preserve">The application relates to No.190-194 Northolt Road. A Biodiversity Report is not required for this application as it is a minor development and not in close proximity to a Site of Important Nature Conservation. The submitted biodiversity report has not been included in the list of ‘approved documents’ in Condition 2 of the application. </w:t>
            </w:r>
          </w:p>
          <w:p w14:paraId="3C1C3626" w14:textId="77777777" w:rsidR="00F26215" w:rsidRPr="00F26215" w:rsidRDefault="00F26215" w:rsidP="00F26215">
            <w:pPr>
              <w:ind w:left="720"/>
              <w:rPr>
                <w:rFonts w:ascii="Calibri" w:eastAsia="Calibri" w:hAnsi="Calibri" w:cs="Calibri"/>
                <w:i/>
                <w:iCs/>
                <w:sz w:val="22"/>
                <w:szCs w:val="22"/>
              </w:rPr>
            </w:pPr>
          </w:p>
          <w:p w14:paraId="21562D8B" w14:textId="77777777" w:rsidR="00F26215" w:rsidRPr="00F26215" w:rsidRDefault="00F26215" w:rsidP="00F26215">
            <w:pPr>
              <w:numPr>
                <w:ilvl w:val="0"/>
                <w:numId w:val="49"/>
              </w:numPr>
              <w:rPr>
                <w:rFonts w:ascii="Calibri" w:hAnsi="Calibri" w:cs="Calibri"/>
                <w:i/>
                <w:iCs/>
                <w:sz w:val="22"/>
                <w:szCs w:val="22"/>
              </w:rPr>
            </w:pPr>
            <w:r w:rsidRPr="00F26215">
              <w:rPr>
                <w:rFonts w:ascii="Calibri" w:hAnsi="Calibri" w:cs="Calibri"/>
                <w:i/>
                <w:iCs/>
                <w:sz w:val="22"/>
                <w:szCs w:val="22"/>
              </w:rPr>
              <w:t xml:space="preserve">Minimal details and consideration given to the landscaping to the rear of the building or detail and information about the external space to the front. It is difficult to provide constructive and useful comments. Communal amenity space is severely deficient. External amenity space would be required and most important for the HMO residents. A visually attractive landscaped setting for the building, to comply with DM 22 policy Trees and Landscaping, and to provide a pleasant place for the residents to dwell and relax outside is required. What has been shown is a narrow strip of left over space adjacent to the rear of the building, noted as ‘garden’ on the drawings in the car park / bike stand and waste management area. A extremely poor outlook, adjacent to ramped access and overshadowed by the building block. </w:t>
            </w:r>
          </w:p>
          <w:p w14:paraId="021DE9E4" w14:textId="77777777" w:rsidR="00F26215" w:rsidRPr="00F26215" w:rsidRDefault="00F26215" w:rsidP="00F26215">
            <w:pPr>
              <w:ind w:left="720"/>
              <w:rPr>
                <w:rFonts w:ascii="Calibri" w:hAnsi="Calibri" w:cs="Calibri"/>
                <w:i/>
                <w:iCs/>
                <w:sz w:val="22"/>
                <w:szCs w:val="22"/>
              </w:rPr>
            </w:pPr>
          </w:p>
          <w:p w14:paraId="50A292BD" w14:textId="77777777" w:rsidR="00F26215" w:rsidRPr="00F26215" w:rsidRDefault="00F26215" w:rsidP="00F26215">
            <w:r w:rsidRPr="00F26215">
              <w:rPr>
                <w:b/>
                <w:bCs/>
              </w:rPr>
              <w:t xml:space="preserve">Officer’s Comments: </w:t>
            </w:r>
            <w:r w:rsidRPr="00F26215">
              <w:t xml:space="preserve">There is no minimal requirement for HMOs to have outdoor space and this has further been addressed in the officer’s report. </w:t>
            </w:r>
          </w:p>
          <w:p w14:paraId="07E43E5F" w14:textId="77777777" w:rsidR="00F26215" w:rsidRPr="00F26215" w:rsidRDefault="00F26215" w:rsidP="00F26215"/>
          <w:p w14:paraId="5A398798" w14:textId="77777777" w:rsidR="00F26215" w:rsidRPr="00F26215" w:rsidRDefault="00F26215" w:rsidP="00F26215">
            <w:r w:rsidRPr="00F26215">
              <w:t xml:space="preserve">The location is within a business uses area and is adjacent to a Town Centre, it is of a commercial nature and landscaping would not be expected in such an area. </w:t>
            </w:r>
          </w:p>
          <w:p w14:paraId="6C13BE30" w14:textId="77777777" w:rsidR="00F26215" w:rsidRPr="00F26215" w:rsidRDefault="00F26215" w:rsidP="00F26215"/>
          <w:p w14:paraId="4C742DD3" w14:textId="77777777" w:rsidR="00F26215" w:rsidRPr="00F26215" w:rsidRDefault="00F26215" w:rsidP="00F26215">
            <w:r w:rsidRPr="00F26215">
              <w:t xml:space="preserve">Notwithstanding, the provision of additional landscaping is considered to be acceptable. It is noted that additional landscaping details could be provided and this will be secured </w:t>
            </w:r>
            <w:r w:rsidRPr="00F26215">
              <w:lastRenderedPageBreak/>
              <w:t>additional conditions outlined below at Addendum Item 2</w:t>
            </w:r>
          </w:p>
          <w:p w14:paraId="200ED132" w14:textId="77777777" w:rsidR="00F26215" w:rsidRPr="00F26215" w:rsidRDefault="00F26215" w:rsidP="00F26215">
            <w:pPr>
              <w:ind w:left="720"/>
              <w:rPr>
                <w:rFonts w:ascii="Calibri" w:eastAsia="Calibri" w:hAnsi="Calibri" w:cs="Calibri"/>
                <w:i/>
                <w:iCs/>
                <w:sz w:val="22"/>
                <w:szCs w:val="22"/>
              </w:rPr>
            </w:pPr>
          </w:p>
          <w:p w14:paraId="737C20F6" w14:textId="77777777" w:rsidR="00F26215" w:rsidRPr="00F26215" w:rsidRDefault="00F26215" w:rsidP="00F26215">
            <w:pPr>
              <w:numPr>
                <w:ilvl w:val="0"/>
                <w:numId w:val="49"/>
              </w:numPr>
              <w:rPr>
                <w:rFonts w:ascii="Calibri" w:hAnsi="Calibri" w:cs="Calibri"/>
                <w:i/>
                <w:iCs/>
                <w:sz w:val="22"/>
                <w:szCs w:val="22"/>
              </w:rPr>
            </w:pPr>
            <w:r w:rsidRPr="00F26215">
              <w:rPr>
                <w:rFonts w:ascii="Calibri" w:hAnsi="Calibri" w:cs="Calibri"/>
                <w:i/>
                <w:iCs/>
                <w:sz w:val="22"/>
                <w:szCs w:val="22"/>
              </w:rPr>
              <w:t xml:space="preserve">The Design and Access statement Item 7 Landscaping notes the in the rear service yard, 1 car park space, soft landscaping and evergreen planting. The drawings L (01) 102, 103, 104, and 109 show green shaded areas, indicate amenity space, but no explanation or landscape detail.  The rear space is dominated by hard surfacing with minimal space allocated for a garden for the residents. The drawings show surface car parking of 4 vehicles (rather than 1 car space noted in the D &amp; A). The rear service yard could be reduced in extent and reorganised to provide greater and more meaningful shared amenity space. Rear servicing is a constraint to achieve a meaningful garden area, however, the lack of a meaningful landscaped amenity space and the creation of a green soft landscape setting for the building remains of concern. The applicant needs to comply with DM 22 which requires a hard and soft landscape scheme and sufficient space for plants to grow and to enhance the biodiversity of the area. The residents require consideration and a reasonable and attractive outside space. </w:t>
            </w:r>
          </w:p>
          <w:p w14:paraId="7C09673D" w14:textId="77777777" w:rsidR="00F26215" w:rsidRPr="00F26215" w:rsidRDefault="00F26215" w:rsidP="00F26215">
            <w:pPr>
              <w:rPr>
                <w:i/>
                <w:iCs/>
              </w:rPr>
            </w:pPr>
          </w:p>
          <w:p w14:paraId="0FCA8254" w14:textId="77777777" w:rsidR="00F26215" w:rsidRPr="00F26215" w:rsidRDefault="00F26215" w:rsidP="00F26215">
            <w:r w:rsidRPr="00F26215">
              <w:rPr>
                <w:b/>
                <w:bCs/>
              </w:rPr>
              <w:t xml:space="preserve">Officer’s Comments: </w:t>
            </w:r>
            <w:r w:rsidRPr="00F26215">
              <w:t xml:space="preserve">The provision of landscaping is considered to be an improvement on the existing situation and is commensurate with the urban setting, which is a business uses area and adjacent to a Town Centre. As noted, there is no policy requirement for outdoor space provision for HMO units and as has been noted in the officer’s report, given the site other attributes (excellent transport links, town centre location etc) residents may have different aspirations with regards to outdoor space than those seeking a more suburban or rural living environment. There will be trade-offs in such circumstances. </w:t>
            </w:r>
          </w:p>
          <w:p w14:paraId="66F68B08" w14:textId="77777777" w:rsidR="00F26215" w:rsidRPr="00F26215" w:rsidRDefault="00F26215" w:rsidP="00F26215">
            <w:pPr>
              <w:rPr>
                <w:rFonts w:eastAsia="Calibri"/>
                <w:i/>
                <w:iCs/>
              </w:rPr>
            </w:pPr>
          </w:p>
          <w:p w14:paraId="1B40ACCB" w14:textId="77777777" w:rsidR="00F26215" w:rsidRPr="00F26215" w:rsidRDefault="00F26215" w:rsidP="00F26215">
            <w:pPr>
              <w:numPr>
                <w:ilvl w:val="0"/>
                <w:numId w:val="49"/>
              </w:numPr>
              <w:rPr>
                <w:rFonts w:ascii="Calibri" w:hAnsi="Calibri" w:cs="Calibri"/>
                <w:i/>
                <w:iCs/>
                <w:sz w:val="22"/>
                <w:szCs w:val="22"/>
              </w:rPr>
            </w:pPr>
            <w:r w:rsidRPr="00F26215">
              <w:rPr>
                <w:rFonts w:ascii="Calibri" w:hAnsi="Calibri" w:cs="Calibri"/>
                <w:i/>
                <w:iCs/>
                <w:sz w:val="22"/>
                <w:szCs w:val="22"/>
              </w:rPr>
              <w:t xml:space="preserve">Street trees on Northolt Road have been illustrated on elevations -Front elevation L (01) 110 Rev PO1, however this hasn’t been followed through on the drawings – Site Plan as proposed L (01) 101 shows bike stands on the frontage and no trees. Drawing L (01) 103 shows green blobs – under a canopy.  Could tree planting along the street be obtained via a S106 agreement? The footway is sufficiently wide to accommodate tree planting which would help to soften the frontage and enhance the biodiversity. Tree planting could be incorporated along the frontage of 190-194 and to the south of the building in front of the shops. </w:t>
            </w:r>
          </w:p>
          <w:p w14:paraId="1B319707" w14:textId="77777777" w:rsidR="00F26215" w:rsidRPr="00F26215" w:rsidRDefault="00F26215" w:rsidP="00F26215"/>
          <w:p w14:paraId="587BB29F" w14:textId="77777777" w:rsidR="00F26215" w:rsidRPr="00F26215" w:rsidRDefault="00F26215" w:rsidP="00F26215">
            <w:r w:rsidRPr="00F26215">
              <w:rPr>
                <w:b/>
                <w:bCs/>
              </w:rPr>
              <w:t xml:space="preserve">Officer’s Comments: </w:t>
            </w:r>
            <w:r w:rsidRPr="00F26215">
              <w:t xml:space="preserve">The development is not a major development and it would be unreasonable to expect street trees to be provided in this instance and there are none in front of the building at present. The development will not make use of the front forecourt/public space. Street trees have not been considered when assessing the application. </w:t>
            </w:r>
          </w:p>
          <w:p w14:paraId="1C8057C1" w14:textId="77777777" w:rsidR="00F26215" w:rsidRPr="00F26215" w:rsidRDefault="00F26215" w:rsidP="00F26215">
            <w:pPr>
              <w:rPr>
                <w:rFonts w:eastAsia="Calibri"/>
                <w:i/>
                <w:iCs/>
              </w:rPr>
            </w:pPr>
          </w:p>
          <w:p w14:paraId="02B3405D" w14:textId="77777777" w:rsidR="00F26215" w:rsidRPr="00F26215" w:rsidRDefault="00F26215" w:rsidP="00F26215">
            <w:pPr>
              <w:numPr>
                <w:ilvl w:val="0"/>
                <w:numId w:val="49"/>
              </w:numPr>
              <w:rPr>
                <w:rFonts w:ascii="Calibri" w:hAnsi="Calibri" w:cs="Calibri"/>
                <w:i/>
                <w:iCs/>
                <w:sz w:val="22"/>
                <w:szCs w:val="22"/>
              </w:rPr>
            </w:pPr>
            <w:r w:rsidRPr="00F26215">
              <w:rPr>
                <w:rFonts w:ascii="Calibri" w:hAnsi="Calibri" w:cs="Calibri"/>
                <w:i/>
                <w:iCs/>
                <w:sz w:val="22"/>
                <w:szCs w:val="22"/>
              </w:rPr>
              <w:t xml:space="preserve">Little detail has been provided as to whether the flat roof on the first floor is to include PV panels or a biodiverse roof. Both would be encouraged and can be combined, with biodiverse planting under some parts of the PV panels. </w:t>
            </w:r>
          </w:p>
          <w:p w14:paraId="31B8DA92" w14:textId="77777777" w:rsidR="00F26215" w:rsidRPr="00F26215" w:rsidRDefault="00F26215" w:rsidP="00F26215">
            <w:pPr>
              <w:rPr>
                <w:i/>
                <w:iCs/>
              </w:rPr>
            </w:pPr>
          </w:p>
          <w:p w14:paraId="1BA5E205" w14:textId="77777777" w:rsidR="00F26215" w:rsidRPr="00F26215" w:rsidRDefault="00F26215" w:rsidP="00F26215">
            <w:r w:rsidRPr="00F26215">
              <w:rPr>
                <w:b/>
                <w:bCs/>
              </w:rPr>
              <w:t xml:space="preserve">Officer’s Comments: </w:t>
            </w:r>
            <w:r w:rsidRPr="00F26215">
              <w:t xml:space="preserve">Condition 7 is attached which requires details of green/biodiverse roofs which will enable further consideration in this regard. </w:t>
            </w:r>
          </w:p>
          <w:p w14:paraId="45DC8F2A" w14:textId="77777777" w:rsidR="00F26215" w:rsidRPr="00F26215" w:rsidRDefault="00F26215" w:rsidP="00F26215">
            <w:pPr>
              <w:ind w:left="720"/>
              <w:rPr>
                <w:rFonts w:ascii="Calibri" w:eastAsia="Calibri" w:hAnsi="Calibri" w:cs="Calibri"/>
                <w:i/>
                <w:iCs/>
                <w:sz w:val="22"/>
                <w:szCs w:val="22"/>
              </w:rPr>
            </w:pPr>
          </w:p>
          <w:p w14:paraId="396D24AF" w14:textId="77777777" w:rsidR="00F26215" w:rsidRPr="00F26215" w:rsidRDefault="00F26215" w:rsidP="00F26215">
            <w:pPr>
              <w:numPr>
                <w:ilvl w:val="0"/>
                <w:numId w:val="49"/>
              </w:numPr>
              <w:rPr>
                <w:rFonts w:ascii="Calibri" w:hAnsi="Calibri" w:cs="Calibri"/>
                <w:i/>
                <w:iCs/>
                <w:sz w:val="22"/>
                <w:szCs w:val="22"/>
              </w:rPr>
            </w:pPr>
            <w:r w:rsidRPr="00F26215">
              <w:rPr>
                <w:rFonts w:ascii="Calibri" w:hAnsi="Calibri" w:cs="Calibri"/>
                <w:i/>
                <w:iCs/>
                <w:sz w:val="22"/>
                <w:szCs w:val="22"/>
              </w:rPr>
              <w:t xml:space="preserve">Biodiversity has minimal consideration.  ‘Biodiversity roof’ and is not meaningful, there is no detail. The Design and Access statement notes under 5 Design, Appearance a biodiversity roof and PV panels on  the new flat roof and also a note on the drawings, but again no information. The report notes a wildflower green roof, sand piles, log piles rope coils. How would the green roof be managed and maintained? Page 9 of the Greengage biodiversity report. Insufficient information. The biodiversity officer, Steve Whitbread, will be able to comment on the biodiversity, biodiversity net gain and urban greening factor. The Greenage report appears to </w:t>
            </w:r>
            <w:r w:rsidRPr="00F26215">
              <w:rPr>
                <w:rFonts w:ascii="Calibri" w:hAnsi="Calibri" w:cs="Calibri"/>
                <w:i/>
                <w:iCs/>
                <w:sz w:val="22"/>
                <w:szCs w:val="22"/>
              </w:rPr>
              <w:lastRenderedPageBreak/>
              <w:t>refer to sites outside the red line application site.</w:t>
            </w:r>
          </w:p>
          <w:p w14:paraId="2B253307" w14:textId="77777777" w:rsidR="00F26215" w:rsidRPr="00F26215" w:rsidRDefault="00F26215" w:rsidP="00F26215">
            <w:pPr>
              <w:rPr>
                <w:i/>
                <w:iCs/>
              </w:rPr>
            </w:pPr>
          </w:p>
          <w:p w14:paraId="4D236B22" w14:textId="77777777" w:rsidR="00F26215" w:rsidRPr="00F26215" w:rsidRDefault="00F26215" w:rsidP="00F26215">
            <w:r w:rsidRPr="00F26215">
              <w:rPr>
                <w:b/>
                <w:bCs/>
              </w:rPr>
              <w:t xml:space="preserve">Officer’s Comments: </w:t>
            </w:r>
            <w:r w:rsidRPr="00F26215">
              <w:t xml:space="preserve">as above. </w:t>
            </w:r>
          </w:p>
          <w:p w14:paraId="62D1DE27" w14:textId="77777777" w:rsidR="00F26215" w:rsidRPr="00F26215" w:rsidRDefault="00F26215" w:rsidP="00F26215">
            <w:pPr>
              <w:rPr>
                <w:rFonts w:eastAsia="Calibri"/>
                <w:i/>
                <w:iCs/>
              </w:rPr>
            </w:pPr>
          </w:p>
          <w:p w14:paraId="2844601A" w14:textId="77777777" w:rsidR="00F26215" w:rsidRPr="00F26215" w:rsidRDefault="00F26215" w:rsidP="00F26215">
            <w:pPr>
              <w:numPr>
                <w:ilvl w:val="0"/>
                <w:numId w:val="49"/>
              </w:numPr>
              <w:rPr>
                <w:rFonts w:ascii="Calibri" w:hAnsi="Calibri" w:cs="Calibri"/>
                <w:i/>
                <w:iCs/>
                <w:sz w:val="22"/>
                <w:szCs w:val="22"/>
              </w:rPr>
            </w:pPr>
            <w:r w:rsidRPr="00F26215">
              <w:rPr>
                <w:rFonts w:ascii="Calibri" w:hAnsi="Calibri" w:cs="Calibri"/>
                <w:i/>
                <w:iCs/>
                <w:sz w:val="22"/>
                <w:szCs w:val="22"/>
              </w:rPr>
              <w:t>Daylight study. The Daylight and sunlight report notes Item 5 conclusion, the results show assessed spaces met the BRE criteria for levels of sunlight. It is unclear how the conclusion has been reached. Looking at the compass points in relation to the building, overshadowing of the amenity space by the building block would be of  concern.</w:t>
            </w:r>
          </w:p>
          <w:p w14:paraId="6227886E" w14:textId="77777777" w:rsidR="00F26215" w:rsidRPr="00F26215" w:rsidRDefault="00F26215" w:rsidP="00F26215">
            <w:pPr>
              <w:rPr>
                <w:i/>
                <w:iCs/>
              </w:rPr>
            </w:pPr>
          </w:p>
          <w:p w14:paraId="21A9CCA3" w14:textId="77777777" w:rsidR="00F26215" w:rsidRPr="00F26215" w:rsidRDefault="00F26215" w:rsidP="00F26215">
            <w:pPr>
              <w:rPr>
                <w:i/>
                <w:iCs/>
              </w:rPr>
            </w:pPr>
            <w:r w:rsidRPr="00F26215">
              <w:rPr>
                <w:b/>
                <w:bCs/>
              </w:rPr>
              <w:t xml:space="preserve">Officer’s Comments: </w:t>
            </w:r>
            <w:r w:rsidRPr="00F26215">
              <w:t xml:space="preserve">As noted, no amenity space is required for HMO units and it is anticipated that the landscaping provided will be for visual purposes only. The suggested additional conditions below will ensure that planting appropriate to a shaded environment are selected. </w:t>
            </w:r>
          </w:p>
          <w:p w14:paraId="0A1C598B" w14:textId="77777777" w:rsidR="00F26215" w:rsidRPr="00F26215" w:rsidRDefault="00F26215" w:rsidP="00F26215">
            <w:pPr>
              <w:ind w:left="720"/>
              <w:rPr>
                <w:rFonts w:ascii="Calibri" w:eastAsia="Calibri" w:hAnsi="Calibri" w:cs="Calibri"/>
                <w:i/>
                <w:iCs/>
                <w:sz w:val="22"/>
                <w:szCs w:val="22"/>
              </w:rPr>
            </w:pPr>
          </w:p>
          <w:p w14:paraId="7CA3D22E" w14:textId="77777777" w:rsidR="00F26215" w:rsidRPr="00F26215" w:rsidRDefault="00F26215" w:rsidP="00F26215">
            <w:pPr>
              <w:numPr>
                <w:ilvl w:val="0"/>
                <w:numId w:val="49"/>
              </w:numPr>
              <w:rPr>
                <w:rFonts w:ascii="Calibri" w:hAnsi="Calibri" w:cs="Calibri"/>
                <w:i/>
                <w:iCs/>
                <w:sz w:val="22"/>
                <w:szCs w:val="22"/>
              </w:rPr>
            </w:pPr>
            <w:r w:rsidRPr="00F26215">
              <w:rPr>
                <w:rFonts w:ascii="Calibri" w:hAnsi="Calibri" w:cs="Calibri"/>
                <w:i/>
                <w:iCs/>
                <w:sz w:val="22"/>
                <w:szCs w:val="22"/>
              </w:rPr>
              <w:t xml:space="preserve">The lack of landscape consideration and information makes it difficult to provide comments. There is insufficient space allocated for a meaningful or attractive amenity space. The outlook is most unattractive, service area, car park, service ramp, retaining wall and refuse storage. This is of concern and does not comply with DM 22 Tree and Landscaping. For the above reasons the landscape and amenity space could not be supported. </w:t>
            </w:r>
          </w:p>
          <w:p w14:paraId="33C320C1" w14:textId="77777777" w:rsidR="00F26215" w:rsidRPr="00F26215" w:rsidRDefault="00F26215" w:rsidP="00F26215">
            <w:pPr>
              <w:rPr>
                <w:i/>
                <w:iCs/>
              </w:rPr>
            </w:pPr>
          </w:p>
          <w:p w14:paraId="5FCC5145" w14:textId="77777777" w:rsidR="00F26215" w:rsidRPr="00F26215" w:rsidRDefault="00F26215" w:rsidP="00F26215">
            <w:r w:rsidRPr="00F26215">
              <w:rPr>
                <w:b/>
                <w:bCs/>
              </w:rPr>
              <w:t xml:space="preserve">Officer’s Comments: </w:t>
            </w:r>
            <w:r w:rsidRPr="00F26215">
              <w:t xml:space="preserve">The concerns of the landscape officer are noted. Notwithstanding, the development is considered to be an improvement on the current situation, is commensurate with what has been approved on neighbouring sites and is considered to deliver a supportable scheme. </w:t>
            </w:r>
          </w:p>
          <w:p w14:paraId="3C56B702" w14:textId="77777777" w:rsidR="00F26215" w:rsidRPr="00F26215" w:rsidRDefault="00F26215" w:rsidP="00F26215">
            <w:pPr>
              <w:rPr>
                <w:i/>
                <w:iCs/>
              </w:rPr>
            </w:pPr>
          </w:p>
          <w:p w14:paraId="65B793A0" w14:textId="77777777" w:rsidR="00F26215" w:rsidRPr="00F26215" w:rsidRDefault="00F26215" w:rsidP="00F26215">
            <w:pPr>
              <w:jc w:val="both"/>
              <w:rPr>
                <w:rFonts w:cs="Arial"/>
                <w:b/>
                <w:bCs/>
                <w:szCs w:val="24"/>
                <w:u w:val="single"/>
              </w:rPr>
            </w:pPr>
            <w:r w:rsidRPr="00F26215">
              <w:rPr>
                <w:rFonts w:cs="Arial"/>
                <w:b/>
                <w:bCs/>
                <w:szCs w:val="24"/>
                <w:u w:val="single"/>
              </w:rPr>
              <w:t>Addendum Item 2:</w:t>
            </w:r>
          </w:p>
          <w:p w14:paraId="4EA76167" w14:textId="77777777" w:rsidR="00F26215" w:rsidRPr="00F26215" w:rsidRDefault="00F26215" w:rsidP="00F26215">
            <w:pPr>
              <w:jc w:val="both"/>
              <w:rPr>
                <w:rFonts w:cs="Arial"/>
                <w:b/>
                <w:bCs/>
                <w:szCs w:val="24"/>
                <w:u w:val="single"/>
              </w:rPr>
            </w:pPr>
          </w:p>
          <w:p w14:paraId="06508510" w14:textId="77777777" w:rsidR="00F26215" w:rsidRPr="00F26215" w:rsidRDefault="00F26215" w:rsidP="00F26215">
            <w:pPr>
              <w:jc w:val="both"/>
              <w:rPr>
                <w:rFonts w:cs="Arial"/>
                <w:szCs w:val="24"/>
              </w:rPr>
            </w:pPr>
            <w:r w:rsidRPr="00F26215">
              <w:rPr>
                <w:rFonts w:cs="Arial"/>
                <w:szCs w:val="24"/>
              </w:rPr>
              <w:t xml:space="preserve">Insert the following landscape conditions 16 and 17: </w:t>
            </w:r>
          </w:p>
          <w:p w14:paraId="5A0D65B7" w14:textId="77777777" w:rsidR="00F26215" w:rsidRPr="00F26215" w:rsidRDefault="00F26215" w:rsidP="00F26215">
            <w:pPr>
              <w:jc w:val="both"/>
              <w:rPr>
                <w:rFonts w:cs="Arial"/>
                <w:szCs w:val="24"/>
              </w:rPr>
            </w:pPr>
          </w:p>
          <w:p w14:paraId="4F041271" w14:textId="77777777" w:rsidR="00F26215" w:rsidRPr="00F26215" w:rsidRDefault="00F26215" w:rsidP="00F26215">
            <w:pPr>
              <w:tabs>
                <w:tab w:val="left" w:pos="1117"/>
              </w:tabs>
              <w:spacing w:after="200"/>
              <w:ind w:left="993" w:hanging="993"/>
              <w:contextualSpacing/>
              <w:jc w:val="both"/>
              <w:rPr>
                <w:rFonts w:cs="Arial"/>
                <w:u w:val="single"/>
              </w:rPr>
            </w:pPr>
            <w:bookmarkStart w:id="0" w:name="_Hlk65738615"/>
            <w:r w:rsidRPr="00F26215">
              <w:rPr>
                <w:rFonts w:cs="Arial"/>
              </w:rPr>
              <w:tab/>
            </w:r>
            <w:r w:rsidRPr="00F26215">
              <w:rPr>
                <w:rFonts w:cs="Arial"/>
                <w:u w:val="single"/>
              </w:rPr>
              <w:t xml:space="preserve">16 Landscaping </w:t>
            </w:r>
          </w:p>
          <w:p w14:paraId="6A4467A5" w14:textId="77777777" w:rsidR="00F26215" w:rsidRPr="00F26215" w:rsidRDefault="00F26215" w:rsidP="00F26215">
            <w:pPr>
              <w:tabs>
                <w:tab w:val="left" w:pos="1117"/>
              </w:tabs>
              <w:spacing w:after="200"/>
              <w:ind w:left="993" w:hanging="993"/>
              <w:contextualSpacing/>
              <w:jc w:val="both"/>
              <w:rPr>
                <w:rFonts w:cs="Arial"/>
                <w:u w:val="single"/>
              </w:rPr>
            </w:pPr>
          </w:p>
          <w:bookmarkEnd w:id="0"/>
          <w:p w14:paraId="5D4902AD" w14:textId="77777777" w:rsidR="00F26215" w:rsidRPr="00F26215" w:rsidRDefault="00F26215" w:rsidP="00F26215">
            <w:pPr>
              <w:tabs>
                <w:tab w:val="left" w:pos="1117"/>
              </w:tabs>
              <w:spacing w:after="200"/>
              <w:ind w:left="993" w:hanging="993"/>
              <w:contextualSpacing/>
              <w:jc w:val="both"/>
              <w:rPr>
                <w:rFonts w:cs="Arial"/>
                <w:lang w:val="en-US"/>
              </w:rPr>
            </w:pPr>
            <w:r w:rsidRPr="00F26215">
              <w:rPr>
                <w:rFonts w:cs="Arial"/>
                <w:lang w:val="en-US"/>
              </w:rPr>
              <w:tab/>
              <w:t>The development hereby permitted shall not be occupied until there has been submitted to, and approved by, the local planning authority, a scheme of hard and soft landscape works for the forecourt of the site.  Soft landscape works shall include: planting plans, and schedules of plants, noting species, plant sizes and proposed numbers / densities</w:t>
            </w:r>
          </w:p>
          <w:p w14:paraId="54F8899A" w14:textId="77777777" w:rsidR="00F26215" w:rsidRPr="00F26215" w:rsidRDefault="00F26215" w:rsidP="00F26215">
            <w:pPr>
              <w:tabs>
                <w:tab w:val="left" w:pos="1117"/>
              </w:tabs>
              <w:spacing w:after="200"/>
              <w:ind w:left="993" w:hanging="993"/>
              <w:contextualSpacing/>
              <w:jc w:val="both"/>
              <w:rPr>
                <w:rFonts w:cs="Arial"/>
                <w:lang w:val="en-US"/>
              </w:rPr>
            </w:pPr>
          </w:p>
          <w:p w14:paraId="5DC3C238" w14:textId="77777777" w:rsidR="00F26215" w:rsidRPr="00F26215" w:rsidRDefault="00F26215" w:rsidP="00F26215">
            <w:pPr>
              <w:tabs>
                <w:tab w:val="left" w:pos="1117"/>
              </w:tabs>
              <w:spacing w:after="200"/>
              <w:ind w:left="993" w:hanging="993"/>
              <w:contextualSpacing/>
              <w:jc w:val="both"/>
              <w:rPr>
                <w:rFonts w:cs="Arial"/>
                <w:lang w:val="en-US"/>
              </w:rPr>
            </w:pPr>
            <w:r w:rsidRPr="00F26215">
              <w:rPr>
                <w:rFonts w:cs="Arial"/>
                <w:lang w:val="en-US"/>
              </w:rPr>
              <w:tab/>
              <w:t>REASON: To safeguard the appearance and character of the area, and to enhance the appearance of the development, in compliance with policies DM 1, DM 22 and DM 23 of the Harrow Development Management Policies Local Plan (2013).</w:t>
            </w:r>
          </w:p>
          <w:p w14:paraId="39FEC00D" w14:textId="77777777" w:rsidR="00F26215" w:rsidRPr="00F26215" w:rsidRDefault="00F26215" w:rsidP="00F26215">
            <w:pPr>
              <w:ind w:left="993"/>
              <w:contextualSpacing/>
              <w:jc w:val="both"/>
              <w:rPr>
                <w:rFonts w:cs="Arial"/>
                <w:lang w:val="en-US"/>
              </w:rPr>
            </w:pPr>
          </w:p>
          <w:p w14:paraId="7D1A872A" w14:textId="77777777" w:rsidR="00F26215" w:rsidRPr="00F26215" w:rsidRDefault="00F26215" w:rsidP="00F26215">
            <w:pPr>
              <w:tabs>
                <w:tab w:val="left" w:pos="1117"/>
              </w:tabs>
              <w:spacing w:after="200"/>
              <w:ind w:left="993" w:hanging="993"/>
              <w:contextualSpacing/>
              <w:jc w:val="both"/>
              <w:rPr>
                <w:rFonts w:cs="Arial"/>
                <w:u w:val="single"/>
              </w:rPr>
            </w:pPr>
            <w:r w:rsidRPr="00F26215">
              <w:rPr>
                <w:rFonts w:cs="Arial"/>
                <w:lang w:val="en-US"/>
              </w:rPr>
              <w:tab/>
            </w:r>
            <w:r w:rsidRPr="00F26215">
              <w:rPr>
                <w:rFonts w:cs="Arial"/>
                <w:u w:val="single"/>
                <w:lang w:val="en-US"/>
              </w:rPr>
              <w:t>17 Landscaping Implementation</w:t>
            </w:r>
          </w:p>
          <w:p w14:paraId="7DC04B4B" w14:textId="77777777" w:rsidR="00F26215" w:rsidRPr="00F26215" w:rsidRDefault="00F26215" w:rsidP="00F26215">
            <w:pPr>
              <w:ind w:left="993"/>
              <w:contextualSpacing/>
              <w:jc w:val="both"/>
              <w:rPr>
                <w:rFonts w:cs="Arial"/>
                <w:lang w:val="en-US"/>
              </w:rPr>
            </w:pPr>
          </w:p>
          <w:p w14:paraId="551571F5" w14:textId="77777777" w:rsidR="00F26215" w:rsidRPr="00F26215" w:rsidRDefault="00F26215" w:rsidP="00F26215">
            <w:pPr>
              <w:ind w:left="993"/>
              <w:contextualSpacing/>
              <w:jc w:val="both"/>
              <w:rPr>
                <w:rFonts w:cs="Arial"/>
              </w:rPr>
            </w:pPr>
            <w:r w:rsidRPr="00F26215">
              <w:rPr>
                <w:rFonts w:cs="Arial"/>
              </w:rPr>
              <w:t xml:space="preserve">All planting, seeding or turfing comprised in the approved details of landscaping shall be carried out in the first planting and seeding seasons following the occupation of the building(s), or the completion of the development, whichever is the sooner.  Any existing or new trees or shrubs </w:t>
            </w:r>
            <w:r w:rsidRPr="00F26215">
              <w:rPr>
                <w:rFonts w:cs="Arial"/>
              </w:rPr>
              <w:lastRenderedPageBreak/>
              <w:t>which, within a period of 5 years from the completion of the development, die, are removed, or become seriously damaged or diseased, shall be replaced in the next planting season, with others of a similar size and species, unless the local authority agrees any variation in writing.</w:t>
            </w:r>
          </w:p>
          <w:p w14:paraId="32C1ABA2" w14:textId="77777777" w:rsidR="00F26215" w:rsidRPr="00F26215" w:rsidRDefault="00F26215" w:rsidP="00F26215">
            <w:pPr>
              <w:ind w:left="993"/>
              <w:contextualSpacing/>
              <w:jc w:val="both"/>
              <w:rPr>
                <w:rFonts w:cs="Arial"/>
              </w:rPr>
            </w:pPr>
          </w:p>
          <w:p w14:paraId="4AE22158" w14:textId="77777777" w:rsidR="00F26215" w:rsidRPr="00F26215" w:rsidRDefault="00F26215" w:rsidP="00F26215">
            <w:pPr>
              <w:ind w:left="993"/>
              <w:contextualSpacing/>
              <w:jc w:val="both"/>
              <w:rPr>
                <w:rFonts w:cs="Arial"/>
                <w:szCs w:val="24"/>
              </w:rPr>
            </w:pPr>
            <w:r w:rsidRPr="00F26215">
              <w:rPr>
                <w:rFonts w:cs="Arial"/>
              </w:rPr>
              <w:t>REASON: To safeguard the appearance and character of the area, and to enhance the appearance of the development, in compliance with policies DM 1, DM 22 and DM 23 of the Harrow Development Management Policies Local Plan (2013).</w:t>
            </w:r>
          </w:p>
          <w:p w14:paraId="6A01F226" w14:textId="210C416E" w:rsidR="00F26215" w:rsidRPr="00F8524A" w:rsidRDefault="00F26215" w:rsidP="008406A9">
            <w:pPr>
              <w:pStyle w:val="Header"/>
              <w:tabs>
                <w:tab w:val="clear" w:pos="4153"/>
                <w:tab w:val="clear" w:pos="8306"/>
              </w:tabs>
              <w:jc w:val="both"/>
              <w:rPr>
                <w:rFonts w:cs="Arial"/>
                <w:b/>
                <w:bCs/>
                <w:szCs w:val="24"/>
              </w:rPr>
            </w:pPr>
          </w:p>
        </w:tc>
      </w:tr>
      <w:tr w:rsidR="00214248" w:rsidRPr="00F8524A" w14:paraId="053642A1" w14:textId="77777777" w:rsidTr="0076067E">
        <w:tc>
          <w:tcPr>
            <w:tcW w:w="862" w:type="dxa"/>
          </w:tcPr>
          <w:p w14:paraId="6F49D7D9" w14:textId="671ADB71" w:rsidR="00214248" w:rsidRPr="00F8524A" w:rsidRDefault="00F26215" w:rsidP="00EA7CBB">
            <w:pPr>
              <w:tabs>
                <w:tab w:val="left" w:pos="4962"/>
                <w:tab w:val="left" w:pos="7655"/>
              </w:tabs>
              <w:ind w:right="45"/>
              <w:rPr>
                <w:rFonts w:cs="Arial"/>
                <w:b/>
                <w:bCs/>
                <w:szCs w:val="24"/>
              </w:rPr>
            </w:pPr>
            <w:r>
              <w:rPr>
                <w:rFonts w:cs="Arial"/>
                <w:b/>
                <w:bCs/>
                <w:szCs w:val="24"/>
              </w:rPr>
              <w:lastRenderedPageBreak/>
              <w:t>2/02</w:t>
            </w:r>
          </w:p>
        </w:tc>
        <w:tc>
          <w:tcPr>
            <w:tcW w:w="9599" w:type="dxa"/>
            <w:shd w:val="clear" w:color="auto" w:fill="auto"/>
          </w:tcPr>
          <w:p w14:paraId="54881BEE" w14:textId="77777777" w:rsidR="00214248" w:rsidRDefault="00F26215" w:rsidP="008406A9">
            <w:pPr>
              <w:pStyle w:val="Header"/>
              <w:tabs>
                <w:tab w:val="clear" w:pos="4153"/>
                <w:tab w:val="clear" w:pos="8306"/>
              </w:tabs>
              <w:jc w:val="both"/>
              <w:rPr>
                <w:rFonts w:cs="Arial"/>
                <w:b/>
                <w:bCs/>
                <w:szCs w:val="24"/>
              </w:rPr>
            </w:pPr>
            <w:r>
              <w:rPr>
                <w:rFonts w:cs="Arial"/>
                <w:b/>
                <w:bCs/>
                <w:szCs w:val="24"/>
              </w:rPr>
              <w:t>198-200 Northolt Road</w:t>
            </w:r>
          </w:p>
          <w:p w14:paraId="12EFF9D2" w14:textId="77777777" w:rsidR="00F26215" w:rsidRDefault="00F26215" w:rsidP="008406A9">
            <w:pPr>
              <w:pStyle w:val="Header"/>
              <w:tabs>
                <w:tab w:val="clear" w:pos="4153"/>
                <w:tab w:val="clear" w:pos="8306"/>
              </w:tabs>
              <w:jc w:val="both"/>
              <w:rPr>
                <w:rFonts w:cs="Arial"/>
                <w:b/>
                <w:bCs/>
                <w:szCs w:val="24"/>
              </w:rPr>
            </w:pPr>
          </w:p>
          <w:p w14:paraId="2FE66950" w14:textId="77777777" w:rsidR="00F26215" w:rsidRPr="00F26215" w:rsidRDefault="00F26215" w:rsidP="00F26215">
            <w:pPr>
              <w:jc w:val="both"/>
              <w:rPr>
                <w:rFonts w:cs="Arial"/>
                <w:b/>
                <w:bCs/>
                <w:szCs w:val="24"/>
                <w:u w:val="single"/>
              </w:rPr>
            </w:pPr>
            <w:r w:rsidRPr="00F26215">
              <w:rPr>
                <w:rFonts w:cs="Arial"/>
                <w:b/>
                <w:bCs/>
                <w:szCs w:val="24"/>
                <w:u w:val="single"/>
              </w:rPr>
              <w:t>Addendum Item 1:</w:t>
            </w:r>
          </w:p>
          <w:p w14:paraId="3562EE6A" w14:textId="77777777" w:rsidR="00F26215" w:rsidRPr="00F26215" w:rsidRDefault="00F26215" w:rsidP="00F26215">
            <w:pPr>
              <w:jc w:val="both"/>
              <w:rPr>
                <w:rFonts w:cs="Arial"/>
                <w:b/>
                <w:bCs/>
                <w:szCs w:val="24"/>
                <w:u w:val="single"/>
              </w:rPr>
            </w:pPr>
          </w:p>
          <w:p w14:paraId="2F6135DF" w14:textId="77777777" w:rsidR="00F26215" w:rsidRPr="00F26215" w:rsidRDefault="00F26215" w:rsidP="00F26215">
            <w:pPr>
              <w:contextualSpacing/>
              <w:jc w:val="both"/>
              <w:rPr>
                <w:rFonts w:cs="Arial"/>
                <w:szCs w:val="24"/>
              </w:rPr>
            </w:pPr>
            <w:r w:rsidRPr="00F26215">
              <w:rPr>
                <w:rFonts w:cs="Arial"/>
                <w:szCs w:val="24"/>
              </w:rPr>
              <w:t>Update the ‘LOCATION’ of the site (on page 3 of the report to)</w:t>
            </w:r>
          </w:p>
          <w:p w14:paraId="3F5C6BED" w14:textId="77777777" w:rsidR="00F26215" w:rsidRPr="00F26215" w:rsidRDefault="00F26215" w:rsidP="00F26215">
            <w:pPr>
              <w:contextualSpacing/>
              <w:jc w:val="both"/>
              <w:rPr>
                <w:rFonts w:cs="Arial"/>
                <w:szCs w:val="24"/>
              </w:rPr>
            </w:pPr>
          </w:p>
          <w:p w14:paraId="7EEA7FD0" w14:textId="57A53A9D" w:rsidR="00F26215" w:rsidRPr="00F8524A" w:rsidRDefault="00F26215" w:rsidP="00F26215">
            <w:pPr>
              <w:pStyle w:val="Header"/>
              <w:tabs>
                <w:tab w:val="clear" w:pos="4153"/>
                <w:tab w:val="clear" w:pos="8306"/>
              </w:tabs>
              <w:jc w:val="both"/>
              <w:rPr>
                <w:rFonts w:cs="Arial"/>
                <w:b/>
                <w:bCs/>
                <w:szCs w:val="24"/>
              </w:rPr>
            </w:pPr>
            <w:r w:rsidRPr="00F26215">
              <w:rPr>
                <w:rFonts w:cs="Arial"/>
                <w:i/>
                <w:iCs/>
                <w:szCs w:val="24"/>
              </w:rPr>
              <w:t>‘198-200 Northolt Road’ [replacing 198A]</w:t>
            </w:r>
          </w:p>
        </w:tc>
      </w:tr>
      <w:tr w:rsidR="0076067E" w:rsidRPr="00686558" w14:paraId="12F54818" w14:textId="77777777" w:rsidTr="0076067E">
        <w:tblPrEx>
          <w:tblLook w:val="04A0" w:firstRow="1" w:lastRow="0" w:firstColumn="1" w:lastColumn="0" w:noHBand="0" w:noVBand="1"/>
        </w:tblPrEx>
        <w:tc>
          <w:tcPr>
            <w:tcW w:w="10461" w:type="dxa"/>
            <w:gridSpan w:val="2"/>
            <w:shd w:val="clear" w:color="auto" w:fill="auto"/>
          </w:tcPr>
          <w:p w14:paraId="5C4AADC5" w14:textId="77777777" w:rsidR="0076067E" w:rsidRPr="00686558" w:rsidRDefault="0076067E" w:rsidP="00C77299">
            <w:pPr>
              <w:jc w:val="both"/>
              <w:rPr>
                <w:rFonts w:cs="Arial"/>
                <w:b/>
                <w:bCs/>
                <w:szCs w:val="24"/>
                <w:u w:val="single"/>
              </w:rPr>
            </w:pPr>
          </w:p>
          <w:p w14:paraId="37F947B1" w14:textId="77777777" w:rsidR="0076067E" w:rsidRPr="00686558" w:rsidRDefault="0076067E" w:rsidP="00C77299">
            <w:pPr>
              <w:jc w:val="center"/>
              <w:rPr>
                <w:rFonts w:cs="Arial"/>
                <w:b/>
                <w:bCs/>
                <w:szCs w:val="24"/>
              </w:rPr>
            </w:pPr>
          </w:p>
          <w:p w14:paraId="71402511" w14:textId="77777777" w:rsidR="0076067E" w:rsidRPr="00686558" w:rsidRDefault="0076067E" w:rsidP="00C77299">
            <w:pPr>
              <w:jc w:val="center"/>
              <w:rPr>
                <w:rFonts w:cs="Arial"/>
                <w:b/>
                <w:bCs/>
                <w:szCs w:val="24"/>
              </w:rPr>
            </w:pPr>
          </w:p>
          <w:p w14:paraId="44DB003A" w14:textId="70E00B14" w:rsidR="0076067E" w:rsidRDefault="0076067E" w:rsidP="00C77299">
            <w:pPr>
              <w:jc w:val="center"/>
              <w:rPr>
                <w:rFonts w:cs="Arial"/>
                <w:b/>
                <w:bCs/>
                <w:szCs w:val="24"/>
              </w:rPr>
            </w:pPr>
            <w:r w:rsidRPr="00686558">
              <w:rPr>
                <w:rFonts w:cs="Arial"/>
                <w:b/>
                <w:bCs/>
                <w:szCs w:val="24"/>
              </w:rPr>
              <w:t>AGENDA ITEM 10 – REPRESENTATIONS ON PLANNING APPLICATIONS</w:t>
            </w:r>
          </w:p>
          <w:p w14:paraId="5E15FE9E" w14:textId="0CD5D316" w:rsidR="0076067E" w:rsidRDefault="0076067E" w:rsidP="00C77299">
            <w:pPr>
              <w:jc w:val="center"/>
              <w:rPr>
                <w:rFonts w:cs="Arial"/>
                <w:b/>
                <w:bCs/>
                <w:szCs w:val="24"/>
              </w:rPr>
            </w:pPr>
          </w:p>
          <w:p w14:paraId="020FA4C0" w14:textId="2D2FFE3E" w:rsidR="0076067E" w:rsidRDefault="0076067E" w:rsidP="00C77299">
            <w:pPr>
              <w:jc w:val="center"/>
              <w:rPr>
                <w:rFonts w:cs="Arial"/>
                <w:b/>
                <w:bCs/>
                <w:szCs w:val="24"/>
              </w:rPr>
            </w:pPr>
          </w:p>
          <w:p w14:paraId="2539559D" w14:textId="5CB541C5" w:rsidR="0076067E" w:rsidRPr="00686558" w:rsidRDefault="0076067E" w:rsidP="00C77299">
            <w:pPr>
              <w:jc w:val="center"/>
              <w:rPr>
                <w:rFonts w:cs="Arial"/>
                <w:b/>
                <w:bCs/>
                <w:szCs w:val="24"/>
              </w:rPr>
            </w:pPr>
            <w:r>
              <w:rPr>
                <w:rFonts w:cs="Arial"/>
                <w:b/>
                <w:bCs/>
                <w:szCs w:val="24"/>
              </w:rPr>
              <w:t>NONE NOTIFIED</w:t>
            </w:r>
          </w:p>
          <w:p w14:paraId="20A47F13" w14:textId="77777777" w:rsidR="0076067E" w:rsidRPr="00686558" w:rsidRDefault="0076067E" w:rsidP="00C77299">
            <w:pPr>
              <w:jc w:val="both"/>
              <w:rPr>
                <w:rFonts w:cs="Arial"/>
                <w:b/>
                <w:bCs/>
                <w:szCs w:val="24"/>
                <w:u w:val="single"/>
              </w:rPr>
            </w:pPr>
          </w:p>
          <w:p w14:paraId="61ABB2C0" w14:textId="77777777" w:rsidR="0076067E" w:rsidRPr="00686558" w:rsidRDefault="0076067E" w:rsidP="00C77299">
            <w:pPr>
              <w:jc w:val="both"/>
              <w:rPr>
                <w:rFonts w:cs="Arial"/>
                <w:b/>
                <w:bCs/>
                <w:szCs w:val="24"/>
                <w:u w:val="single"/>
              </w:rPr>
            </w:pPr>
          </w:p>
        </w:tc>
      </w:tr>
    </w:tbl>
    <w:p w14:paraId="3EB830BC" w14:textId="77777777" w:rsidR="00BF5551" w:rsidRPr="00F8524A" w:rsidRDefault="00BF5551" w:rsidP="0000689E">
      <w:pPr>
        <w:pStyle w:val="BodyText"/>
        <w:jc w:val="left"/>
        <w:rPr>
          <w:rFonts w:cs="Arial"/>
          <w:sz w:val="24"/>
          <w:szCs w:val="24"/>
        </w:rPr>
      </w:pPr>
    </w:p>
    <w:p w14:paraId="3B327922" w14:textId="77777777" w:rsidR="004C01CE" w:rsidRPr="00F8524A" w:rsidRDefault="008D77B6" w:rsidP="0000689E">
      <w:pPr>
        <w:pStyle w:val="BodyText"/>
        <w:jc w:val="left"/>
        <w:rPr>
          <w:rFonts w:cs="Arial"/>
          <w:sz w:val="24"/>
          <w:szCs w:val="24"/>
        </w:rPr>
      </w:pPr>
      <w:r w:rsidRPr="00F8524A">
        <w:rPr>
          <w:rFonts w:cs="Arial"/>
          <w:sz w:val="24"/>
          <w:szCs w:val="24"/>
        </w:rPr>
        <w:t xml:space="preserve"> </w:t>
      </w:r>
    </w:p>
    <w:sectPr w:rsidR="004C01CE" w:rsidRPr="00F8524A" w:rsidSect="00C164D8">
      <w:headerReference w:type="even" r:id="rId8"/>
      <w:headerReference w:type="default" r:id="rId9"/>
      <w:footerReference w:type="even" r:id="rId10"/>
      <w:footerReference w:type="default" r:id="rId11"/>
      <w:headerReference w:type="first" r:id="rId12"/>
      <w:footerReference w:type="first" r:id="rId13"/>
      <w:pgSz w:w="11907" w:h="16840" w:code="9"/>
      <w:pgMar w:top="567" w:right="1021" w:bottom="1440" w:left="851"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E7B6" w14:textId="77777777" w:rsidR="00916DC3" w:rsidRDefault="00916DC3" w:rsidP="00320BC6">
      <w:pPr>
        <w:pStyle w:val="Header"/>
      </w:pPr>
      <w:r>
        <w:separator/>
      </w:r>
    </w:p>
  </w:endnote>
  <w:endnote w:type="continuationSeparator" w:id="0">
    <w:p w14:paraId="5D6FD0A0" w14:textId="77777777" w:rsidR="00916DC3" w:rsidRDefault="00916DC3" w:rsidP="00320BC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E121" w14:textId="77777777" w:rsidR="00425806" w:rsidRDefault="00425806" w:rsidP="00425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DC60AB" w14:textId="77777777" w:rsidR="00425806" w:rsidRDefault="0042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C9EE" w14:textId="77777777" w:rsidR="00425806" w:rsidRPr="00C164D8" w:rsidRDefault="00425806" w:rsidP="00425CE1">
    <w:pPr>
      <w:pStyle w:val="Footer"/>
      <w:framePr w:wrap="around" w:vAnchor="text" w:hAnchor="margin" w:xAlign="center" w:y="1"/>
      <w:rPr>
        <w:rStyle w:val="PageNumber"/>
        <w:sz w:val="20"/>
      </w:rPr>
    </w:pPr>
    <w:r w:rsidRPr="00C164D8">
      <w:rPr>
        <w:rStyle w:val="PageNumber"/>
        <w:sz w:val="20"/>
      </w:rPr>
      <w:fldChar w:fldCharType="begin"/>
    </w:r>
    <w:r w:rsidRPr="00C164D8">
      <w:rPr>
        <w:rStyle w:val="PageNumber"/>
        <w:sz w:val="20"/>
      </w:rPr>
      <w:instrText xml:space="preserve">PAGE  </w:instrText>
    </w:r>
    <w:r w:rsidRPr="00C164D8">
      <w:rPr>
        <w:rStyle w:val="PageNumber"/>
        <w:sz w:val="20"/>
      </w:rPr>
      <w:fldChar w:fldCharType="separate"/>
    </w:r>
    <w:r w:rsidR="00AB6003">
      <w:rPr>
        <w:rStyle w:val="PageNumber"/>
        <w:noProof/>
        <w:sz w:val="20"/>
      </w:rPr>
      <w:t>1</w:t>
    </w:r>
    <w:r w:rsidRPr="00C164D8">
      <w:rPr>
        <w:rStyle w:val="PageNumber"/>
        <w:sz w:val="20"/>
      </w:rPr>
      <w:fldChar w:fldCharType="end"/>
    </w:r>
  </w:p>
  <w:p w14:paraId="1B559B0F" w14:textId="77777777" w:rsidR="00425806" w:rsidRDefault="00425806">
    <w:pPr>
      <w:pStyle w:val="Footer"/>
      <w:rPr>
        <w:sz w:val="20"/>
      </w:rPr>
    </w:pPr>
    <w:r>
      <w:rPr>
        <w:sz w:val="20"/>
      </w:rPr>
      <w:t>_________________________________________________________________________________________</w:t>
    </w:r>
  </w:p>
  <w:p w14:paraId="3E2A61FF" w14:textId="77777777" w:rsidR="00425806" w:rsidRPr="00C164D8" w:rsidRDefault="00425806" w:rsidP="005D37A5">
    <w:pPr>
      <w:pStyle w:val="Footer"/>
      <w:tabs>
        <w:tab w:val="clear" w:pos="8640"/>
        <w:tab w:val="right" w:pos="9639"/>
      </w:tabs>
      <w:rPr>
        <w:sz w:val="20"/>
      </w:rPr>
    </w:pPr>
    <w:r w:rsidRPr="00C164D8">
      <w:rPr>
        <w:sz w:val="20"/>
      </w:rPr>
      <w:t>Planning Committee Addendum</w:t>
    </w:r>
    <w:r w:rsidRPr="00C164D8">
      <w:rPr>
        <w:sz w:val="20"/>
      </w:rPr>
      <w:tab/>
    </w:r>
    <w:r w:rsidRPr="00C164D8">
      <w:rPr>
        <w:sz w:val="20"/>
      </w:rPr>
      <w:tab/>
      <w:t xml:space="preserve">                                        </w:t>
    </w:r>
    <w:r w:rsidR="00F51F7F">
      <w:rPr>
        <w:rFonts w:cs="Arial"/>
        <w:sz w:val="18"/>
        <w:szCs w:val="18"/>
      </w:rPr>
      <w:t>16</w:t>
    </w:r>
    <w:r w:rsidR="00F51F7F" w:rsidRPr="00F51F7F">
      <w:rPr>
        <w:rFonts w:cs="Arial"/>
        <w:sz w:val="18"/>
        <w:szCs w:val="18"/>
        <w:vertAlign w:val="superscript"/>
      </w:rPr>
      <w:t>th</w:t>
    </w:r>
    <w:r w:rsidR="00F51F7F">
      <w:rPr>
        <w:rFonts w:cs="Arial"/>
        <w:sz w:val="18"/>
        <w:szCs w:val="18"/>
      </w:rPr>
      <w:t xml:space="preserve"> 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6DFC" w14:textId="77777777" w:rsidR="00F51F7F" w:rsidRDefault="00F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B0FC" w14:textId="77777777" w:rsidR="00916DC3" w:rsidRDefault="00916DC3" w:rsidP="00320BC6">
      <w:pPr>
        <w:pStyle w:val="Header"/>
      </w:pPr>
      <w:r>
        <w:separator/>
      </w:r>
    </w:p>
  </w:footnote>
  <w:footnote w:type="continuationSeparator" w:id="0">
    <w:p w14:paraId="69107D08" w14:textId="77777777" w:rsidR="00916DC3" w:rsidRDefault="00916DC3" w:rsidP="00320BC6">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8D3D" w14:textId="77777777" w:rsidR="00F51F7F" w:rsidRDefault="00F51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A84A" w14:textId="77777777" w:rsidR="00F51F7F" w:rsidRDefault="00F51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522A" w14:textId="77777777" w:rsidR="00F51F7F" w:rsidRDefault="00F51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876"/>
    <w:multiLevelType w:val="hybridMultilevel"/>
    <w:tmpl w:val="4B3A736E"/>
    <w:lvl w:ilvl="0" w:tplc="2DE657B2">
      <w:start w:val="1"/>
      <w:numFmt w:val="bullet"/>
      <w:lvlText w:val=""/>
      <w:lvlJc w:val="left"/>
      <w:pPr>
        <w:tabs>
          <w:tab w:val="num" w:pos="587"/>
        </w:tabs>
        <w:ind w:left="720" w:hanging="360"/>
      </w:pPr>
      <w:rPr>
        <w:rFonts w:ascii="Symbol" w:hAnsi="Symbo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0536E"/>
    <w:multiLevelType w:val="hybridMultilevel"/>
    <w:tmpl w:val="CE845604"/>
    <w:lvl w:ilvl="0" w:tplc="04090001">
      <w:start w:val="1"/>
      <w:numFmt w:val="bullet"/>
      <w:lvlText w:val=""/>
      <w:lvlJc w:val="left"/>
      <w:pPr>
        <w:tabs>
          <w:tab w:val="num" w:pos="360"/>
        </w:tabs>
        <w:ind w:left="360" w:hanging="360"/>
      </w:pPr>
      <w:rPr>
        <w:rFonts w:ascii="Symbol" w:hAnsi="Symbol" w:hint="default"/>
      </w:rPr>
    </w:lvl>
    <w:lvl w:ilvl="1" w:tplc="1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E506A3"/>
    <w:multiLevelType w:val="hybridMultilevel"/>
    <w:tmpl w:val="7F30B4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8760B"/>
    <w:multiLevelType w:val="hybridMultilevel"/>
    <w:tmpl w:val="59A8E984"/>
    <w:lvl w:ilvl="0" w:tplc="36A608A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64D6292"/>
    <w:multiLevelType w:val="hybridMultilevel"/>
    <w:tmpl w:val="A6A2361C"/>
    <w:lvl w:ilvl="0" w:tplc="18090005">
      <w:start w:val="1"/>
      <w:numFmt w:val="bullet"/>
      <w:lvlText w:val=""/>
      <w:lvlJc w:val="left"/>
      <w:pPr>
        <w:tabs>
          <w:tab w:val="num" w:pos="360"/>
        </w:tabs>
        <w:ind w:left="360" w:hanging="360"/>
      </w:pPr>
      <w:rPr>
        <w:rFonts w:ascii="Wingdings" w:hAnsi="Wingdings" w:hint="default"/>
      </w:rPr>
    </w:lvl>
    <w:lvl w:ilvl="1" w:tplc="475C02EE">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32221"/>
    <w:multiLevelType w:val="hybridMultilevel"/>
    <w:tmpl w:val="F95E0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D24E6D"/>
    <w:multiLevelType w:val="hybridMultilevel"/>
    <w:tmpl w:val="0298F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5A750C"/>
    <w:multiLevelType w:val="hybridMultilevel"/>
    <w:tmpl w:val="2A4876B0"/>
    <w:lvl w:ilvl="0" w:tplc="2DE657B2">
      <w:start w:val="1"/>
      <w:numFmt w:val="bullet"/>
      <w:lvlText w:val=""/>
      <w:lvlJc w:val="left"/>
      <w:pPr>
        <w:tabs>
          <w:tab w:val="num" w:pos="587"/>
        </w:tabs>
        <w:ind w:left="720" w:hanging="360"/>
      </w:pPr>
      <w:rPr>
        <w:rFonts w:ascii="Symbol" w:hAnsi="Symbo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2D15ED"/>
    <w:multiLevelType w:val="hybridMultilevel"/>
    <w:tmpl w:val="A9441ED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55D4895"/>
    <w:multiLevelType w:val="hybridMultilevel"/>
    <w:tmpl w:val="39E8FE0A"/>
    <w:lvl w:ilvl="0" w:tplc="0409000F">
      <w:start w:val="1"/>
      <w:numFmt w:val="decimal"/>
      <w:lvlText w:val="%1."/>
      <w:lvlJc w:val="left"/>
      <w:pPr>
        <w:tabs>
          <w:tab w:val="num" w:pos="360"/>
        </w:tabs>
        <w:ind w:left="360" w:hanging="360"/>
      </w:pPr>
      <w:rPr>
        <w:rFonts w:hint="default"/>
      </w:rPr>
    </w:lvl>
    <w:lvl w:ilvl="1" w:tplc="04090013">
      <w:start w:val="1"/>
      <w:numFmt w:val="upperRoman"/>
      <w:lvlText w:val="%2."/>
      <w:lvlJc w:val="right"/>
      <w:pPr>
        <w:tabs>
          <w:tab w:val="num" w:pos="900"/>
        </w:tabs>
        <w:ind w:left="900" w:hanging="1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C9345A"/>
    <w:multiLevelType w:val="hybridMultilevel"/>
    <w:tmpl w:val="377C17B6"/>
    <w:lvl w:ilvl="0" w:tplc="2DE657B2">
      <w:start w:val="1"/>
      <w:numFmt w:val="bullet"/>
      <w:lvlText w:val=""/>
      <w:lvlJc w:val="left"/>
      <w:pPr>
        <w:tabs>
          <w:tab w:val="num" w:pos="587"/>
        </w:tabs>
        <w:ind w:left="720" w:hanging="360"/>
      </w:pPr>
      <w:rPr>
        <w:rFonts w:ascii="Symbol" w:hAnsi="Symbo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4017C8"/>
    <w:multiLevelType w:val="hybridMultilevel"/>
    <w:tmpl w:val="0D141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8E4C72"/>
    <w:multiLevelType w:val="multilevel"/>
    <w:tmpl w:val="D2A49E6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1DA32799"/>
    <w:multiLevelType w:val="hybridMultilevel"/>
    <w:tmpl w:val="7B6085D8"/>
    <w:lvl w:ilvl="0" w:tplc="64629BA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E863678"/>
    <w:multiLevelType w:val="singleLevel"/>
    <w:tmpl w:val="A2A4E740"/>
    <w:lvl w:ilvl="0">
      <w:start w:val="1"/>
      <w:numFmt w:val="decimal"/>
      <w:pStyle w:val="Heading3"/>
      <w:lvlText w:val="%1"/>
      <w:lvlJc w:val="left"/>
      <w:pPr>
        <w:tabs>
          <w:tab w:val="num" w:pos="1425"/>
        </w:tabs>
        <w:ind w:left="1425" w:hanging="1425"/>
      </w:pPr>
      <w:rPr>
        <w:rFonts w:hint="default"/>
      </w:rPr>
    </w:lvl>
  </w:abstractNum>
  <w:abstractNum w:abstractNumId="15" w15:restartNumberingAfterBreak="0">
    <w:nsid w:val="203E2A20"/>
    <w:multiLevelType w:val="hybridMultilevel"/>
    <w:tmpl w:val="A1A6E300"/>
    <w:lvl w:ilvl="0" w:tplc="2DE657B2">
      <w:start w:val="1"/>
      <w:numFmt w:val="bullet"/>
      <w:lvlText w:val=""/>
      <w:lvlJc w:val="left"/>
      <w:pPr>
        <w:tabs>
          <w:tab w:val="num" w:pos="587"/>
        </w:tabs>
        <w:ind w:left="720" w:hanging="360"/>
      </w:pPr>
      <w:rPr>
        <w:rFonts w:ascii="Symbol" w:hAnsi="Symbol" w:hint="default"/>
        <w:color w:val="000000"/>
      </w:rPr>
    </w:lvl>
    <w:lvl w:ilvl="1" w:tplc="F838076C">
      <w:start w:val="6"/>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E4718A"/>
    <w:multiLevelType w:val="hybridMultilevel"/>
    <w:tmpl w:val="264A6F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5D218F6"/>
    <w:multiLevelType w:val="hybridMultilevel"/>
    <w:tmpl w:val="AB0C7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B2B580B"/>
    <w:multiLevelType w:val="hybridMultilevel"/>
    <w:tmpl w:val="49860A9E"/>
    <w:lvl w:ilvl="0" w:tplc="BC9AF6C0">
      <w:start w:val="2"/>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C1B5526"/>
    <w:multiLevelType w:val="hybridMultilevel"/>
    <w:tmpl w:val="A44CAB9E"/>
    <w:lvl w:ilvl="0" w:tplc="2DE657B2">
      <w:start w:val="1"/>
      <w:numFmt w:val="bullet"/>
      <w:lvlText w:val=""/>
      <w:lvlJc w:val="left"/>
      <w:pPr>
        <w:tabs>
          <w:tab w:val="num" w:pos="587"/>
        </w:tabs>
        <w:ind w:left="720" w:hanging="360"/>
      </w:pPr>
      <w:rPr>
        <w:rFonts w:ascii="Symbol" w:hAnsi="Symbo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815E41"/>
    <w:multiLevelType w:val="hybridMultilevel"/>
    <w:tmpl w:val="45426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367FC4"/>
    <w:multiLevelType w:val="hybridMultilevel"/>
    <w:tmpl w:val="8996E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8466E6"/>
    <w:multiLevelType w:val="hybridMultilevel"/>
    <w:tmpl w:val="A492E86C"/>
    <w:lvl w:ilvl="0" w:tplc="2DE657B2">
      <w:start w:val="1"/>
      <w:numFmt w:val="bullet"/>
      <w:lvlText w:val=""/>
      <w:lvlJc w:val="left"/>
      <w:pPr>
        <w:tabs>
          <w:tab w:val="num" w:pos="587"/>
        </w:tabs>
        <w:ind w:left="720" w:hanging="360"/>
      </w:pPr>
      <w:rPr>
        <w:rFonts w:ascii="Symbol" w:hAnsi="Symbo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E2055E"/>
    <w:multiLevelType w:val="hybridMultilevel"/>
    <w:tmpl w:val="0B784DD8"/>
    <w:lvl w:ilvl="0" w:tplc="1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F31049"/>
    <w:multiLevelType w:val="multilevel"/>
    <w:tmpl w:val="002AC71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5" w15:restartNumberingAfterBreak="0">
    <w:nsid w:val="50C72CB9"/>
    <w:multiLevelType w:val="hybridMultilevel"/>
    <w:tmpl w:val="7B12DC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233089"/>
    <w:multiLevelType w:val="hybridMultilevel"/>
    <w:tmpl w:val="2D300580"/>
    <w:lvl w:ilvl="0" w:tplc="2DE657B2">
      <w:start w:val="1"/>
      <w:numFmt w:val="bullet"/>
      <w:lvlText w:val=""/>
      <w:lvlJc w:val="left"/>
      <w:pPr>
        <w:tabs>
          <w:tab w:val="num" w:pos="587"/>
        </w:tabs>
        <w:ind w:left="720" w:hanging="360"/>
      </w:pPr>
      <w:rPr>
        <w:rFonts w:ascii="Symbol" w:hAnsi="Symbol" w:hint="default"/>
        <w:color w:val="000000"/>
      </w:rPr>
    </w:lvl>
    <w:lvl w:ilvl="1" w:tplc="AA005E0E">
      <w:start w:val="12"/>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4C709A"/>
    <w:multiLevelType w:val="hybridMultilevel"/>
    <w:tmpl w:val="917A6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487D4B"/>
    <w:multiLevelType w:val="hybridMultilevel"/>
    <w:tmpl w:val="37E83D44"/>
    <w:lvl w:ilvl="0" w:tplc="FC6672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5869D4"/>
    <w:multiLevelType w:val="hybridMultilevel"/>
    <w:tmpl w:val="F28EEC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90272E"/>
    <w:multiLevelType w:val="hybridMultilevel"/>
    <w:tmpl w:val="1B468C20"/>
    <w:lvl w:ilvl="0" w:tplc="04090011">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1" w15:restartNumberingAfterBreak="0">
    <w:nsid w:val="61E674EF"/>
    <w:multiLevelType w:val="hybridMultilevel"/>
    <w:tmpl w:val="75CC7FC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7881D91"/>
    <w:multiLevelType w:val="hybridMultilevel"/>
    <w:tmpl w:val="CF3E24D2"/>
    <w:lvl w:ilvl="0" w:tplc="2DE657B2">
      <w:start w:val="1"/>
      <w:numFmt w:val="bullet"/>
      <w:lvlText w:val=""/>
      <w:lvlJc w:val="left"/>
      <w:pPr>
        <w:tabs>
          <w:tab w:val="num" w:pos="587"/>
        </w:tabs>
        <w:ind w:left="720" w:hanging="360"/>
      </w:pPr>
      <w:rPr>
        <w:rFonts w:ascii="Symbol" w:hAnsi="Symbo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0B3D52"/>
    <w:multiLevelType w:val="hybridMultilevel"/>
    <w:tmpl w:val="ED86E5AC"/>
    <w:lvl w:ilvl="0" w:tplc="04090005">
      <w:start w:val="1"/>
      <w:numFmt w:val="bullet"/>
      <w:lvlText w:val=""/>
      <w:lvlJc w:val="left"/>
      <w:pPr>
        <w:tabs>
          <w:tab w:val="num" w:pos="360"/>
        </w:tabs>
        <w:ind w:left="360" w:hanging="360"/>
      </w:pPr>
      <w:rPr>
        <w:rFonts w:ascii="Wingdings" w:hAnsi="Wingdings" w:hint="default"/>
      </w:rPr>
    </w:lvl>
    <w:lvl w:ilvl="1" w:tplc="475C02EE">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653A6A"/>
    <w:multiLevelType w:val="hybridMultilevel"/>
    <w:tmpl w:val="4714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B91B27"/>
    <w:multiLevelType w:val="hybridMultilevel"/>
    <w:tmpl w:val="78DE5D02"/>
    <w:lvl w:ilvl="0" w:tplc="04090001">
      <w:start w:val="1"/>
      <w:numFmt w:val="bullet"/>
      <w:lvlText w:val=""/>
      <w:lvlJc w:val="left"/>
      <w:pPr>
        <w:tabs>
          <w:tab w:val="num" w:pos="329"/>
        </w:tabs>
        <w:ind w:left="329" w:hanging="360"/>
      </w:pPr>
      <w:rPr>
        <w:rFonts w:ascii="Symbol" w:hAnsi="Symbol" w:hint="default"/>
      </w:rPr>
    </w:lvl>
    <w:lvl w:ilvl="1" w:tplc="04090003">
      <w:start w:val="1"/>
      <w:numFmt w:val="bullet"/>
      <w:lvlText w:val="o"/>
      <w:lvlJc w:val="left"/>
      <w:pPr>
        <w:tabs>
          <w:tab w:val="num" w:pos="1049"/>
        </w:tabs>
        <w:ind w:left="1049" w:hanging="360"/>
      </w:pPr>
      <w:rPr>
        <w:rFonts w:ascii="Courier New" w:hAnsi="Courier New" w:cs="Courier New" w:hint="default"/>
      </w:rPr>
    </w:lvl>
    <w:lvl w:ilvl="2" w:tplc="04090005">
      <w:start w:val="1"/>
      <w:numFmt w:val="bullet"/>
      <w:lvlText w:val=""/>
      <w:lvlJc w:val="left"/>
      <w:pPr>
        <w:tabs>
          <w:tab w:val="num" w:pos="1769"/>
        </w:tabs>
        <w:ind w:left="1769" w:hanging="360"/>
      </w:pPr>
      <w:rPr>
        <w:rFonts w:ascii="Wingdings" w:hAnsi="Wingdings" w:cs="Times New Roman" w:hint="default"/>
      </w:rPr>
    </w:lvl>
    <w:lvl w:ilvl="3" w:tplc="04090001">
      <w:start w:val="1"/>
      <w:numFmt w:val="bullet"/>
      <w:lvlText w:val=""/>
      <w:lvlJc w:val="left"/>
      <w:pPr>
        <w:tabs>
          <w:tab w:val="num" w:pos="2489"/>
        </w:tabs>
        <w:ind w:left="2489" w:hanging="360"/>
      </w:pPr>
      <w:rPr>
        <w:rFonts w:ascii="Symbol" w:hAnsi="Symbol" w:cs="Times New Roman" w:hint="default"/>
      </w:rPr>
    </w:lvl>
    <w:lvl w:ilvl="4" w:tplc="04090003">
      <w:start w:val="1"/>
      <w:numFmt w:val="bullet"/>
      <w:lvlText w:val="o"/>
      <w:lvlJc w:val="left"/>
      <w:pPr>
        <w:tabs>
          <w:tab w:val="num" w:pos="3209"/>
        </w:tabs>
        <w:ind w:left="3209" w:hanging="360"/>
      </w:pPr>
      <w:rPr>
        <w:rFonts w:ascii="Courier New" w:hAnsi="Courier New" w:cs="Courier New" w:hint="default"/>
      </w:rPr>
    </w:lvl>
    <w:lvl w:ilvl="5" w:tplc="04090005">
      <w:start w:val="1"/>
      <w:numFmt w:val="bullet"/>
      <w:lvlText w:val=""/>
      <w:lvlJc w:val="left"/>
      <w:pPr>
        <w:tabs>
          <w:tab w:val="num" w:pos="3929"/>
        </w:tabs>
        <w:ind w:left="3929" w:hanging="360"/>
      </w:pPr>
      <w:rPr>
        <w:rFonts w:ascii="Wingdings" w:hAnsi="Wingdings" w:cs="Times New Roman" w:hint="default"/>
      </w:rPr>
    </w:lvl>
    <w:lvl w:ilvl="6" w:tplc="04090001">
      <w:start w:val="1"/>
      <w:numFmt w:val="bullet"/>
      <w:lvlText w:val=""/>
      <w:lvlJc w:val="left"/>
      <w:pPr>
        <w:tabs>
          <w:tab w:val="num" w:pos="4649"/>
        </w:tabs>
        <w:ind w:left="4649" w:hanging="360"/>
      </w:pPr>
      <w:rPr>
        <w:rFonts w:ascii="Symbol" w:hAnsi="Symbol" w:cs="Times New Roman" w:hint="default"/>
      </w:rPr>
    </w:lvl>
    <w:lvl w:ilvl="7" w:tplc="04090003">
      <w:start w:val="1"/>
      <w:numFmt w:val="bullet"/>
      <w:lvlText w:val="o"/>
      <w:lvlJc w:val="left"/>
      <w:pPr>
        <w:tabs>
          <w:tab w:val="num" w:pos="5369"/>
        </w:tabs>
        <w:ind w:left="5369" w:hanging="360"/>
      </w:pPr>
      <w:rPr>
        <w:rFonts w:ascii="Courier New" w:hAnsi="Courier New" w:cs="Courier New" w:hint="default"/>
      </w:rPr>
    </w:lvl>
    <w:lvl w:ilvl="8" w:tplc="04090005">
      <w:start w:val="1"/>
      <w:numFmt w:val="bullet"/>
      <w:lvlText w:val=""/>
      <w:lvlJc w:val="left"/>
      <w:pPr>
        <w:tabs>
          <w:tab w:val="num" w:pos="6089"/>
        </w:tabs>
        <w:ind w:left="6089" w:hanging="360"/>
      </w:pPr>
      <w:rPr>
        <w:rFonts w:ascii="Wingdings" w:hAnsi="Wingdings" w:cs="Times New Roman" w:hint="default"/>
      </w:rPr>
    </w:lvl>
  </w:abstractNum>
  <w:abstractNum w:abstractNumId="36" w15:restartNumberingAfterBreak="0">
    <w:nsid w:val="6B2B17AA"/>
    <w:multiLevelType w:val="hybridMultilevel"/>
    <w:tmpl w:val="0DB05BE4"/>
    <w:lvl w:ilvl="0" w:tplc="2DE657B2">
      <w:start w:val="1"/>
      <w:numFmt w:val="bullet"/>
      <w:lvlText w:val=""/>
      <w:lvlJc w:val="left"/>
      <w:pPr>
        <w:tabs>
          <w:tab w:val="num" w:pos="587"/>
        </w:tabs>
        <w:ind w:left="720" w:hanging="360"/>
      </w:pPr>
      <w:rPr>
        <w:rFonts w:ascii="Symbol" w:hAnsi="Symbo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913FF5"/>
    <w:multiLevelType w:val="hybridMultilevel"/>
    <w:tmpl w:val="AC968016"/>
    <w:lvl w:ilvl="0" w:tplc="08090001">
      <w:start w:val="1"/>
      <w:numFmt w:val="bullet"/>
      <w:lvlText w:val=""/>
      <w:lvlJc w:val="left"/>
      <w:pPr>
        <w:tabs>
          <w:tab w:val="num" w:pos="2010"/>
        </w:tabs>
        <w:ind w:left="20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7A37BC"/>
    <w:multiLevelType w:val="hybridMultilevel"/>
    <w:tmpl w:val="DCD09E94"/>
    <w:lvl w:ilvl="0" w:tplc="2DE657B2">
      <w:start w:val="1"/>
      <w:numFmt w:val="bullet"/>
      <w:lvlText w:val=""/>
      <w:lvlJc w:val="left"/>
      <w:pPr>
        <w:tabs>
          <w:tab w:val="num" w:pos="587"/>
        </w:tabs>
        <w:ind w:left="720" w:hanging="360"/>
      </w:pPr>
      <w:rPr>
        <w:rFonts w:ascii="Symbol" w:hAnsi="Symbo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6F7AB9"/>
    <w:multiLevelType w:val="hybridMultilevel"/>
    <w:tmpl w:val="DD7804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0" w15:restartNumberingAfterBreak="0">
    <w:nsid w:val="6E9F20C0"/>
    <w:multiLevelType w:val="hybridMultilevel"/>
    <w:tmpl w:val="3E9C5B92"/>
    <w:lvl w:ilvl="0" w:tplc="2DE657B2">
      <w:start w:val="1"/>
      <w:numFmt w:val="bullet"/>
      <w:lvlText w:val=""/>
      <w:lvlJc w:val="left"/>
      <w:pPr>
        <w:tabs>
          <w:tab w:val="num" w:pos="587"/>
        </w:tabs>
        <w:ind w:left="720" w:hanging="360"/>
      </w:pPr>
      <w:rPr>
        <w:rFonts w:ascii="Symbol" w:hAnsi="Symbo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5D5269"/>
    <w:multiLevelType w:val="hybridMultilevel"/>
    <w:tmpl w:val="A19090EA"/>
    <w:lvl w:ilvl="0" w:tplc="56A42D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7F7ED2"/>
    <w:multiLevelType w:val="hybridMultilevel"/>
    <w:tmpl w:val="8A4C22C0"/>
    <w:lvl w:ilvl="0" w:tplc="AA005E0E">
      <w:start w:val="12"/>
      <w:numFmt w:val="decimal"/>
      <w:lvlText w:val="%1."/>
      <w:lvlJc w:val="left"/>
      <w:pPr>
        <w:tabs>
          <w:tab w:val="num" w:pos="720"/>
        </w:tabs>
        <w:ind w:left="720" w:hanging="360"/>
      </w:pPr>
      <w:rPr>
        <w:rFonts w:hint="default"/>
        <w:color w:val="000000"/>
      </w:rPr>
    </w:lvl>
    <w:lvl w:ilvl="1" w:tplc="AA005E0E">
      <w:start w:val="12"/>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E47B29"/>
    <w:multiLevelType w:val="hybridMultilevel"/>
    <w:tmpl w:val="67386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5EB7CB3"/>
    <w:multiLevelType w:val="hybridMultilevel"/>
    <w:tmpl w:val="1B82CA1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6003F24"/>
    <w:multiLevelType w:val="hybridMultilevel"/>
    <w:tmpl w:val="F2AEAC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063088"/>
    <w:multiLevelType w:val="hybridMultilevel"/>
    <w:tmpl w:val="0C5EE97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98E7D39"/>
    <w:multiLevelType w:val="hybridMultilevel"/>
    <w:tmpl w:val="A85691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9C719C7"/>
    <w:multiLevelType w:val="hybridMultilevel"/>
    <w:tmpl w:val="347E57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35"/>
  </w:num>
  <w:num w:numId="3">
    <w:abstractNumId w:val="39"/>
  </w:num>
  <w:num w:numId="4">
    <w:abstractNumId w:val="29"/>
  </w:num>
  <w:num w:numId="5">
    <w:abstractNumId w:val="45"/>
  </w:num>
  <w:num w:numId="6">
    <w:abstractNumId w:val="1"/>
  </w:num>
  <w:num w:numId="7">
    <w:abstractNumId w:val="23"/>
  </w:num>
  <w:num w:numId="8">
    <w:abstractNumId w:val="16"/>
  </w:num>
  <w:num w:numId="9">
    <w:abstractNumId w:val="33"/>
  </w:num>
  <w:num w:numId="10">
    <w:abstractNumId w:val="12"/>
  </w:num>
  <w:num w:numId="11">
    <w:abstractNumId w:val="37"/>
  </w:num>
  <w:num w:numId="12">
    <w:abstractNumId w:val="25"/>
  </w:num>
  <w:num w:numId="13">
    <w:abstractNumId w:val="47"/>
  </w:num>
  <w:num w:numId="14">
    <w:abstractNumId w:val="21"/>
  </w:num>
  <w:num w:numId="15">
    <w:abstractNumId w:val="31"/>
  </w:num>
  <w:num w:numId="16">
    <w:abstractNumId w:val="11"/>
  </w:num>
  <w:num w:numId="17">
    <w:abstractNumId w:val="3"/>
  </w:num>
  <w:num w:numId="18">
    <w:abstractNumId w:val="2"/>
  </w:num>
  <w:num w:numId="19">
    <w:abstractNumId w:val="34"/>
  </w:num>
  <w:num w:numId="20">
    <w:abstractNumId w:val="48"/>
  </w:num>
  <w:num w:numId="21">
    <w:abstractNumId w:val="30"/>
  </w:num>
  <w:num w:numId="22">
    <w:abstractNumId w:val="4"/>
  </w:num>
  <w:num w:numId="23">
    <w:abstractNumId w:val="18"/>
  </w:num>
  <w:num w:numId="24">
    <w:abstractNumId w:val="24"/>
  </w:num>
  <w:num w:numId="25">
    <w:abstractNumId w:val="8"/>
  </w:num>
  <w:num w:numId="26">
    <w:abstractNumId w:val="44"/>
  </w:num>
  <w:num w:numId="27">
    <w:abstractNumId w:val="46"/>
  </w:num>
  <w:num w:numId="28">
    <w:abstractNumId w:val="6"/>
  </w:num>
  <w:num w:numId="29">
    <w:abstractNumId w:val="5"/>
  </w:num>
  <w:num w:numId="30">
    <w:abstractNumId w:val="41"/>
  </w:num>
  <w:num w:numId="31">
    <w:abstractNumId w:val="38"/>
  </w:num>
  <w:num w:numId="32">
    <w:abstractNumId w:val="0"/>
  </w:num>
  <w:num w:numId="33">
    <w:abstractNumId w:val="36"/>
  </w:num>
  <w:num w:numId="34">
    <w:abstractNumId w:val="22"/>
  </w:num>
  <w:num w:numId="35">
    <w:abstractNumId w:val="10"/>
  </w:num>
  <w:num w:numId="36">
    <w:abstractNumId w:val="7"/>
  </w:num>
  <w:num w:numId="37">
    <w:abstractNumId w:val="32"/>
  </w:num>
  <w:num w:numId="38">
    <w:abstractNumId w:val="40"/>
  </w:num>
  <w:num w:numId="39">
    <w:abstractNumId w:val="19"/>
  </w:num>
  <w:num w:numId="40">
    <w:abstractNumId w:val="15"/>
  </w:num>
  <w:num w:numId="41">
    <w:abstractNumId w:val="42"/>
  </w:num>
  <w:num w:numId="42">
    <w:abstractNumId w:val="26"/>
  </w:num>
  <w:num w:numId="43">
    <w:abstractNumId w:val="9"/>
  </w:num>
  <w:num w:numId="44">
    <w:abstractNumId w:val="27"/>
  </w:num>
  <w:num w:numId="45">
    <w:abstractNumId w:val="13"/>
  </w:num>
  <w:num w:numId="46">
    <w:abstractNumId w:val="20"/>
  </w:num>
  <w:num w:numId="47">
    <w:abstractNumId w:val="28"/>
  </w:num>
  <w:num w:numId="48">
    <w:abstractNumId w:val="43"/>
  </w:num>
  <w:num w:numId="4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FD"/>
    <w:rsid w:val="00001683"/>
    <w:rsid w:val="0000689E"/>
    <w:rsid w:val="00007CA7"/>
    <w:rsid w:val="000118B3"/>
    <w:rsid w:val="00014AF1"/>
    <w:rsid w:val="00020655"/>
    <w:rsid w:val="00022438"/>
    <w:rsid w:val="0002330D"/>
    <w:rsid w:val="0003058F"/>
    <w:rsid w:val="000312BC"/>
    <w:rsid w:val="00060345"/>
    <w:rsid w:val="000627C5"/>
    <w:rsid w:val="00062B1E"/>
    <w:rsid w:val="000631EF"/>
    <w:rsid w:val="0007216D"/>
    <w:rsid w:val="00074395"/>
    <w:rsid w:val="00074B25"/>
    <w:rsid w:val="00093929"/>
    <w:rsid w:val="000A039A"/>
    <w:rsid w:val="000B0419"/>
    <w:rsid w:val="000B5EE2"/>
    <w:rsid w:val="000B788F"/>
    <w:rsid w:val="000C3914"/>
    <w:rsid w:val="000C3A78"/>
    <w:rsid w:val="000D1DD7"/>
    <w:rsid w:val="000D5B5B"/>
    <w:rsid w:val="000D5CE4"/>
    <w:rsid w:val="000D66B4"/>
    <w:rsid w:val="000D6A9D"/>
    <w:rsid w:val="000E563F"/>
    <w:rsid w:val="000F2CE0"/>
    <w:rsid w:val="00101267"/>
    <w:rsid w:val="0010146F"/>
    <w:rsid w:val="00104CFA"/>
    <w:rsid w:val="001051B6"/>
    <w:rsid w:val="0010735A"/>
    <w:rsid w:val="00110E0E"/>
    <w:rsid w:val="00115897"/>
    <w:rsid w:val="00141D27"/>
    <w:rsid w:val="001453F3"/>
    <w:rsid w:val="0015027F"/>
    <w:rsid w:val="001504F6"/>
    <w:rsid w:val="00151A90"/>
    <w:rsid w:val="001530AD"/>
    <w:rsid w:val="00153FCD"/>
    <w:rsid w:val="00154FC7"/>
    <w:rsid w:val="00164924"/>
    <w:rsid w:val="00166CA8"/>
    <w:rsid w:val="001672E9"/>
    <w:rsid w:val="00175BAC"/>
    <w:rsid w:val="001778DE"/>
    <w:rsid w:val="001909E3"/>
    <w:rsid w:val="00191FD3"/>
    <w:rsid w:val="00193941"/>
    <w:rsid w:val="00197D17"/>
    <w:rsid w:val="001A34C6"/>
    <w:rsid w:val="001A64CA"/>
    <w:rsid w:val="001B5B84"/>
    <w:rsid w:val="001C060A"/>
    <w:rsid w:val="001F11C9"/>
    <w:rsid w:val="001F3446"/>
    <w:rsid w:val="00201F79"/>
    <w:rsid w:val="002077E2"/>
    <w:rsid w:val="00207FEF"/>
    <w:rsid w:val="00214248"/>
    <w:rsid w:val="0021540F"/>
    <w:rsid w:val="00216EED"/>
    <w:rsid w:val="002377D6"/>
    <w:rsid w:val="0024374D"/>
    <w:rsid w:val="0024790A"/>
    <w:rsid w:val="00255A8A"/>
    <w:rsid w:val="0025654B"/>
    <w:rsid w:val="00257F69"/>
    <w:rsid w:val="002703D8"/>
    <w:rsid w:val="002823F2"/>
    <w:rsid w:val="002855DF"/>
    <w:rsid w:val="002865AE"/>
    <w:rsid w:val="00290902"/>
    <w:rsid w:val="00296AA8"/>
    <w:rsid w:val="002C0919"/>
    <w:rsid w:val="002C2B3E"/>
    <w:rsid w:val="002D47D0"/>
    <w:rsid w:val="002E03F4"/>
    <w:rsid w:val="002E3117"/>
    <w:rsid w:val="002E6903"/>
    <w:rsid w:val="002E77A7"/>
    <w:rsid w:val="002F5A09"/>
    <w:rsid w:val="00310479"/>
    <w:rsid w:val="00320BC6"/>
    <w:rsid w:val="003309B8"/>
    <w:rsid w:val="00331AA2"/>
    <w:rsid w:val="0034389A"/>
    <w:rsid w:val="003516DE"/>
    <w:rsid w:val="00376A43"/>
    <w:rsid w:val="0038133B"/>
    <w:rsid w:val="00384C5F"/>
    <w:rsid w:val="00385DEC"/>
    <w:rsid w:val="003935D9"/>
    <w:rsid w:val="00393BFD"/>
    <w:rsid w:val="00393E69"/>
    <w:rsid w:val="003A2828"/>
    <w:rsid w:val="003A5B4C"/>
    <w:rsid w:val="003B3F84"/>
    <w:rsid w:val="003B5185"/>
    <w:rsid w:val="003B5584"/>
    <w:rsid w:val="003B6409"/>
    <w:rsid w:val="003C1C14"/>
    <w:rsid w:val="003C517A"/>
    <w:rsid w:val="003C661B"/>
    <w:rsid w:val="003D17FF"/>
    <w:rsid w:val="003E4BA1"/>
    <w:rsid w:val="003F56F1"/>
    <w:rsid w:val="004006CA"/>
    <w:rsid w:val="004016F6"/>
    <w:rsid w:val="004072DA"/>
    <w:rsid w:val="00410297"/>
    <w:rsid w:val="00420A30"/>
    <w:rsid w:val="00421870"/>
    <w:rsid w:val="00425806"/>
    <w:rsid w:val="00425CE1"/>
    <w:rsid w:val="00447A11"/>
    <w:rsid w:val="00450A13"/>
    <w:rsid w:val="00453ECB"/>
    <w:rsid w:val="0046334F"/>
    <w:rsid w:val="00466086"/>
    <w:rsid w:val="004815CA"/>
    <w:rsid w:val="00487EE6"/>
    <w:rsid w:val="0049771B"/>
    <w:rsid w:val="004C01CE"/>
    <w:rsid w:val="004C0F25"/>
    <w:rsid w:val="004C109F"/>
    <w:rsid w:val="004D1EC9"/>
    <w:rsid w:val="004D2968"/>
    <w:rsid w:val="004D62B0"/>
    <w:rsid w:val="004D7A87"/>
    <w:rsid w:val="004E1F58"/>
    <w:rsid w:val="004E24E3"/>
    <w:rsid w:val="004E36B0"/>
    <w:rsid w:val="004F040B"/>
    <w:rsid w:val="004F2D95"/>
    <w:rsid w:val="004F46E6"/>
    <w:rsid w:val="00510F56"/>
    <w:rsid w:val="00532727"/>
    <w:rsid w:val="005327BA"/>
    <w:rsid w:val="00541C49"/>
    <w:rsid w:val="005513BD"/>
    <w:rsid w:val="0055162D"/>
    <w:rsid w:val="0058735C"/>
    <w:rsid w:val="005909A2"/>
    <w:rsid w:val="00596847"/>
    <w:rsid w:val="00597D39"/>
    <w:rsid w:val="005A04A7"/>
    <w:rsid w:val="005D37A5"/>
    <w:rsid w:val="005D5616"/>
    <w:rsid w:val="005E1AF4"/>
    <w:rsid w:val="005E4B0E"/>
    <w:rsid w:val="00602D3E"/>
    <w:rsid w:val="00606393"/>
    <w:rsid w:val="00610F8F"/>
    <w:rsid w:val="00620CAD"/>
    <w:rsid w:val="006213D7"/>
    <w:rsid w:val="00621B9C"/>
    <w:rsid w:val="00623FBF"/>
    <w:rsid w:val="00630F0B"/>
    <w:rsid w:val="00632E70"/>
    <w:rsid w:val="00634166"/>
    <w:rsid w:val="006356A2"/>
    <w:rsid w:val="00635CBA"/>
    <w:rsid w:val="00637933"/>
    <w:rsid w:val="00637D5F"/>
    <w:rsid w:val="006405FB"/>
    <w:rsid w:val="006674D4"/>
    <w:rsid w:val="00667C20"/>
    <w:rsid w:val="006750E8"/>
    <w:rsid w:val="00676715"/>
    <w:rsid w:val="0068615C"/>
    <w:rsid w:val="00695340"/>
    <w:rsid w:val="00696F86"/>
    <w:rsid w:val="006A1600"/>
    <w:rsid w:val="006B01F3"/>
    <w:rsid w:val="006B17CD"/>
    <w:rsid w:val="006B5490"/>
    <w:rsid w:val="006B73D5"/>
    <w:rsid w:val="006C0317"/>
    <w:rsid w:val="006D2360"/>
    <w:rsid w:val="006D588E"/>
    <w:rsid w:val="006E580A"/>
    <w:rsid w:val="006F00FC"/>
    <w:rsid w:val="00704E81"/>
    <w:rsid w:val="007058FB"/>
    <w:rsid w:val="00705A79"/>
    <w:rsid w:val="00705FE2"/>
    <w:rsid w:val="007158BE"/>
    <w:rsid w:val="00722EE2"/>
    <w:rsid w:val="00723EFD"/>
    <w:rsid w:val="00726EFC"/>
    <w:rsid w:val="00731C50"/>
    <w:rsid w:val="00732942"/>
    <w:rsid w:val="00736503"/>
    <w:rsid w:val="00742B9D"/>
    <w:rsid w:val="007446EC"/>
    <w:rsid w:val="00753A8C"/>
    <w:rsid w:val="0075511F"/>
    <w:rsid w:val="0076067E"/>
    <w:rsid w:val="007667B3"/>
    <w:rsid w:val="00770422"/>
    <w:rsid w:val="00771DE5"/>
    <w:rsid w:val="00771FC4"/>
    <w:rsid w:val="00776ACE"/>
    <w:rsid w:val="0077746F"/>
    <w:rsid w:val="007A5402"/>
    <w:rsid w:val="007A7600"/>
    <w:rsid w:val="007B348C"/>
    <w:rsid w:val="007B4AE0"/>
    <w:rsid w:val="007C3A61"/>
    <w:rsid w:val="007E4732"/>
    <w:rsid w:val="007E5D37"/>
    <w:rsid w:val="007F1A34"/>
    <w:rsid w:val="007F7370"/>
    <w:rsid w:val="00800CDD"/>
    <w:rsid w:val="00804EE6"/>
    <w:rsid w:val="0080550A"/>
    <w:rsid w:val="00806F69"/>
    <w:rsid w:val="00812C19"/>
    <w:rsid w:val="00814254"/>
    <w:rsid w:val="00825AB3"/>
    <w:rsid w:val="00826D57"/>
    <w:rsid w:val="008305E9"/>
    <w:rsid w:val="00831562"/>
    <w:rsid w:val="00833730"/>
    <w:rsid w:val="0084069A"/>
    <w:rsid w:val="008406A9"/>
    <w:rsid w:val="0085632D"/>
    <w:rsid w:val="00861BF9"/>
    <w:rsid w:val="00864655"/>
    <w:rsid w:val="00870CE5"/>
    <w:rsid w:val="0088042B"/>
    <w:rsid w:val="00897B01"/>
    <w:rsid w:val="008A43EB"/>
    <w:rsid w:val="008B1A3A"/>
    <w:rsid w:val="008B3F8C"/>
    <w:rsid w:val="008C2133"/>
    <w:rsid w:val="008D2936"/>
    <w:rsid w:val="008D77B6"/>
    <w:rsid w:val="008F239E"/>
    <w:rsid w:val="008F285A"/>
    <w:rsid w:val="008F6E56"/>
    <w:rsid w:val="00901FED"/>
    <w:rsid w:val="00910E90"/>
    <w:rsid w:val="00916DC3"/>
    <w:rsid w:val="00941A83"/>
    <w:rsid w:val="00945A8D"/>
    <w:rsid w:val="009522A1"/>
    <w:rsid w:val="00956EF8"/>
    <w:rsid w:val="00963C7C"/>
    <w:rsid w:val="00990A8C"/>
    <w:rsid w:val="009A022F"/>
    <w:rsid w:val="009A1CF5"/>
    <w:rsid w:val="009B160B"/>
    <w:rsid w:val="009B2378"/>
    <w:rsid w:val="009C0B88"/>
    <w:rsid w:val="009C1411"/>
    <w:rsid w:val="009C2665"/>
    <w:rsid w:val="009C3E3E"/>
    <w:rsid w:val="009D163A"/>
    <w:rsid w:val="009D36A4"/>
    <w:rsid w:val="009F14A2"/>
    <w:rsid w:val="009F503B"/>
    <w:rsid w:val="00A15711"/>
    <w:rsid w:val="00A17F66"/>
    <w:rsid w:val="00A3770B"/>
    <w:rsid w:val="00A46B31"/>
    <w:rsid w:val="00A54A20"/>
    <w:rsid w:val="00A54B5B"/>
    <w:rsid w:val="00A55562"/>
    <w:rsid w:val="00A76BCC"/>
    <w:rsid w:val="00A77E4A"/>
    <w:rsid w:val="00A82A97"/>
    <w:rsid w:val="00A94BDC"/>
    <w:rsid w:val="00A95967"/>
    <w:rsid w:val="00AA4074"/>
    <w:rsid w:val="00AB3114"/>
    <w:rsid w:val="00AB4F65"/>
    <w:rsid w:val="00AB6003"/>
    <w:rsid w:val="00AC27AD"/>
    <w:rsid w:val="00AC5AC0"/>
    <w:rsid w:val="00AD13E3"/>
    <w:rsid w:val="00AD6003"/>
    <w:rsid w:val="00AE2B39"/>
    <w:rsid w:val="00AF5605"/>
    <w:rsid w:val="00B026A9"/>
    <w:rsid w:val="00B114B6"/>
    <w:rsid w:val="00B12D8C"/>
    <w:rsid w:val="00B17F19"/>
    <w:rsid w:val="00B26435"/>
    <w:rsid w:val="00B44007"/>
    <w:rsid w:val="00B5134C"/>
    <w:rsid w:val="00B51E2E"/>
    <w:rsid w:val="00B57E1E"/>
    <w:rsid w:val="00B64CB9"/>
    <w:rsid w:val="00B74F33"/>
    <w:rsid w:val="00B87146"/>
    <w:rsid w:val="00BB1D53"/>
    <w:rsid w:val="00BB75CF"/>
    <w:rsid w:val="00BD5AB6"/>
    <w:rsid w:val="00BE525D"/>
    <w:rsid w:val="00BE6748"/>
    <w:rsid w:val="00BF5551"/>
    <w:rsid w:val="00BF71C3"/>
    <w:rsid w:val="00C0199D"/>
    <w:rsid w:val="00C0393B"/>
    <w:rsid w:val="00C048B5"/>
    <w:rsid w:val="00C056C9"/>
    <w:rsid w:val="00C07E7F"/>
    <w:rsid w:val="00C158B8"/>
    <w:rsid w:val="00C164D8"/>
    <w:rsid w:val="00C31F13"/>
    <w:rsid w:val="00C338D9"/>
    <w:rsid w:val="00C459F6"/>
    <w:rsid w:val="00C4717F"/>
    <w:rsid w:val="00C51BCE"/>
    <w:rsid w:val="00C53823"/>
    <w:rsid w:val="00C64B2F"/>
    <w:rsid w:val="00C80A44"/>
    <w:rsid w:val="00C86088"/>
    <w:rsid w:val="00CA4164"/>
    <w:rsid w:val="00CA5491"/>
    <w:rsid w:val="00CB1C92"/>
    <w:rsid w:val="00CB4277"/>
    <w:rsid w:val="00CB4D6E"/>
    <w:rsid w:val="00CC3FBC"/>
    <w:rsid w:val="00CD533E"/>
    <w:rsid w:val="00CF05F4"/>
    <w:rsid w:val="00CF5F64"/>
    <w:rsid w:val="00D0622D"/>
    <w:rsid w:val="00D169C6"/>
    <w:rsid w:val="00D24297"/>
    <w:rsid w:val="00D242DE"/>
    <w:rsid w:val="00D25CE5"/>
    <w:rsid w:val="00D3231F"/>
    <w:rsid w:val="00D36C98"/>
    <w:rsid w:val="00D408C7"/>
    <w:rsid w:val="00D43A68"/>
    <w:rsid w:val="00D45E3D"/>
    <w:rsid w:val="00D50BA7"/>
    <w:rsid w:val="00D5614D"/>
    <w:rsid w:val="00D603BD"/>
    <w:rsid w:val="00D60FB8"/>
    <w:rsid w:val="00D73018"/>
    <w:rsid w:val="00D75306"/>
    <w:rsid w:val="00D94CA1"/>
    <w:rsid w:val="00DA0372"/>
    <w:rsid w:val="00DA57F2"/>
    <w:rsid w:val="00DB0E1C"/>
    <w:rsid w:val="00DB10BD"/>
    <w:rsid w:val="00DB541A"/>
    <w:rsid w:val="00DC4A54"/>
    <w:rsid w:val="00DC611C"/>
    <w:rsid w:val="00DE6141"/>
    <w:rsid w:val="00DF423A"/>
    <w:rsid w:val="00E01F08"/>
    <w:rsid w:val="00E02005"/>
    <w:rsid w:val="00E03274"/>
    <w:rsid w:val="00E0745E"/>
    <w:rsid w:val="00E114F8"/>
    <w:rsid w:val="00E1204A"/>
    <w:rsid w:val="00E236AA"/>
    <w:rsid w:val="00E26895"/>
    <w:rsid w:val="00E425FC"/>
    <w:rsid w:val="00E5369E"/>
    <w:rsid w:val="00E5558D"/>
    <w:rsid w:val="00E65096"/>
    <w:rsid w:val="00E7511F"/>
    <w:rsid w:val="00E75BF8"/>
    <w:rsid w:val="00E97946"/>
    <w:rsid w:val="00EA7CBB"/>
    <w:rsid w:val="00EB1281"/>
    <w:rsid w:val="00EB4B4E"/>
    <w:rsid w:val="00EB618A"/>
    <w:rsid w:val="00ED4B2A"/>
    <w:rsid w:val="00ED6B9E"/>
    <w:rsid w:val="00EE5251"/>
    <w:rsid w:val="00EF28F3"/>
    <w:rsid w:val="00EF3970"/>
    <w:rsid w:val="00EF6AE3"/>
    <w:rsid w:val="00F00B5F"/>
    <w:rsid w:val="00F14D1E"/>
    <w:rsid w:val="00F2241B"/>
    <w:rsid w:val="00F24417"/>
    <w:rsid w:val="00F26215"/>
    <w:rsid w:val="00F33688"/>
    <w:rsid w:val="00F4291D"/>
    <w:rsid w:val="00F47C00"/>
    <w:rsid w:val="00F51F7F"/>
    <w:rsid w:val="00F57CC0"/>
    <w:rsid w:val="00F61446"/>
    <w:rsid w:val="00F70185"/>
    <w:rsid w:val="00F72C09"/>
    <w:rsid w:val="00F84833"/>
    <w:rsid w:val="00F8524A"/>
    <w:rsid w:val="00F87C37"/>
    <w:rsid w:val="00FA3B46"/>
    <w:rsid w:val="00FA5C25"/>
    <w:rsid w:val="00FB0AC4"/>
    <w:rsid w:val="00FD04BD"/>
    <w:rsid w:val="00FE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059A6ED"/>
  <w15:chartTrackingRefBased/>
  <w15:docId w15:val="{E690D049-6FC9-498D-A7F9-C44281CA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BFD"/>
    <w:rPr>
      <w:rFonts w:ascii="Arial" w:hAnsi="Arial"/>
      <w:sz w:val="24"/>
      <w:lang w:eastAsia="en-US"/>
    </w:rPr>
  </w:style>
  <w:style w:type="paragraph" w:styleId="Heading1">
    <w:name w:val="heading 1"/>
    <w:basedOn w:val="Normal"/>
    <w:next w:val="Normal"/>
    <w:qFormat/>
    <w:rsid w:val="00FA3B46"/>
    <w:pPr>
      <w:keepNext/>
      <w:tabs>
        <w:tab w:val="left" w:pos="3402"/>
        <w:tab w:val="left" w:pos="5670"/>
        <w:tab w:val="left" w:pos="7088"/>
        <w:tab w:val="left" w:pos="8222"/>
      </w:tabs>
      <w:ind w:left="1134" w:hanging="1134"/>
      <w:jc w:val="both"/>
      <w:outlineLvl w:val="0"/>
    </w:pPr>
    <w:rPr>
      <w:b/>
      <w:sz w:val="20"/>
    </w:rPr>
  </w:style>
  <w:style w:type="paragraph" w:styleId="Heading2">
    <w:name w:val="heading 2"/>
    <w:basedOn w:val="Normal"/>
    <w:next w:val="Normal"/>
    <w:qFormat/>
    <w:rsid w:val="00FA3B46"/>
    <w:pPr>
      <w:keepNext/>
      <w:tabs>
        <w:tab w:val="left" w:pos="3402"/>
        <w:tab w:val="left" w:pos="5670"/>
        <w:tab w:val="left" w:pos="7088"/>
        <w:tab w:val="left" w:pos="8222"/>
      </w:tabs>
      <w:ind w:left="567" w:hanging="567"/>
      <w:jc w:val="both"/>
      <w:outlineLvl w:val="1"/>
    </w:pPr>
    <w:rPr>
      <w:b/>
      <w:sz w:val="20"/>
    </w:rPr>
  </w:style>
  <w:style w:type="paragraph" w:styleId="Heading3">
    <w:name w:val="heading 3"/>
    <w:basedOn w:val="Normal"/>
    <w:next w:val="Normal"/>
    <w:qFormat/>
    <w:rsid w:val="00FA3B46"/>
    <w:pPr>
      <w:keepNext/>
      <w:numPr>
        <w:numId w:val="1"/>
      </w:numPr>
      <w:tabs>
        <w:tab w:val="clear" w:pos="1425"/>
        <w:tab w:val="num" w:pos="993"/>
        <w:tab w:val="left" w:pos="5670"/>
        <w:tab w:val="left" w:pos="7088"/>
        <w:tab w:val="left" w:pos="8222"/>
      </w:tabs>
      <w:ind w:left="709" w:hanging="709"/>
      <w:jc w:val="both"/>
      <w:outlineLvl w:val="2"/>
    </w:pPr>
    <w:rPr>
      <w:i/>
      <w:sz w:val="20"/>
    </w:rPr>
  </w:style>
  <w:style w:type="paragraph" w:styleId="Heading9">
    <w:name w:val="heading 9"/>
    <w:basedOn w:val="Normal"/>
    <w:next w:val="Normal"/>
    <w:qFormat/>
    <w:rsid w:val="003B518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3BFD"/>
    <w:pPr>
      <w:tabs>
        <w:tab w:val="center" w:pos="4153"/>
        <w:tab w:val="right" w:pos="8306"/>
      </w:tabs>
    </w:pPr>
  </w:style>
  <w:style w:type="table" w:styleId="TableGrid">
    <w:name w:val="Table Grid"/>
    <w:basedOn w:val="TableNormal"/>
    <w:rsid w:val="0039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745E"/>
    <w:rPr>
      <w:color w:val="0000FF"/>
      <w:u w:val="single"/>
    </w:rPr>
  </w:style>
  <w:style w:type="paragraph" w:styleId="Footer">
    <w:name w:val="footer"/>
    <w:basedOn w:val="Normal"/>
    <w:rsid w:val="00AC5AC0"/>
    <w:pPr>
      <w:tabs>
        <w:tab w:val="center" w:pos="4320"/>
        <w:tab w:val="right" w:pos="8640"/>
      </w:tabs>
    </w:pPr>
  </w:style>
  <w:style w:type="character" w:styleId="PageNumber">
    <w:name w:val="page number"/>
    <w:basedOn w:val="DefaultParagraphFont"/>
    <w:rsid w:val="00AC5AC0"/>
  </w:style>
  <w:style w:type="character" w:styleId="Strong">
    <w:name w:val="Strong"/>
    <w:qFormat/>
    <w:rsid w:val="006B5490"/>
    <w:rPr>
      <w:b/>
      <w:bCs/>
    </w:rPr>
  </w:style>
  <w:style w:type="paragraph" w:customStyle="1" w:styleId="cm5">
    <w:name w:val="cm5"/>
    <w:basedOn w:val="Normal"/>
    <w:rsid w:val="006B5490"/>
    <w:pPr>
      <w:spacing w:before="100" w:beforeAutospacing="1" w:after="100" w:afterAutospacing="1"/>
    </w:pPr>
    <w:rPr>
      <w:rFonts w:ascii="Times New Roman" w:hAnsi="Times New Roman"/>
      <w:szCs w:val="24"/>
      <w:lang w:eastAsia="en-GB"/>
    </w:rPr>
  </w:style>
  <w:style w:type="character" w:styleId="Emphasis">
    <w:name w:val="Emphasis"/>
    <w:qFormat/>
    <w:rsid w:val="006B5490"/>
    <w:rPr>
      <w:i/>
      <w:iCs/>
    </w:rPr>
  </w:style>
  <w:style w:type="paragraph" w:customStyle="1" w:styleId="Default">
    <w:name w:val="Default"/>
    <w:rsid w:val="00B64CB9"/>
    <w:pPr>
      <w:widowControl w:val="0"/>
      <w:autoSpaceDE w:val="0"/>
      <w:autoSpaceDN w:val="0"/>
      <w:adjustRightInd w:val="0"/>
    </w:pPr>
    <w:rPr>
      <w:rFonts w:ascii="Arial" w:hAnsi="Arial" w:cs="Arial"/>
      <w:color w:val="000000"/>
      <w:sz w:val="24"/>
      <w:szCs w:val="24"/>
      <w:lang w:val="en-US" w:eastAsia="en-US"/>
    </w:rPr>
  </w:style>
  <w:style w:type="paragraph" w:customStyle="1" w:styleId="policysubhead-italic">
    <w:name w:val="policy subhead - italic"/>
    <w:basedOn w:val="Normal"/>
    <w:next w:val="Normal"/>
    <w:rsid w:val="005513BD"/>
    <w:pPr>
      <w:widowControl w:val="0"/>
      <w:autoSpaceDE w:val="0"/>
      <w:autoSpaceDN w:val="0"/>
      <w:adjustRightInd w:val="0"/>
      <w:spacing w:line="300" w:lineRule="exact"/>
      <w:ind w:left="1134"/>
    </w:pPr>
    <w:rPr>
      <w:rFonts w:ascii="Helvetica" w:hAnsi="Helvetica" w:cs="Helvetica"/>
      <w:szCs w:val="24"/>
      <w:lang w:val="en-US"/>
    </w:rPr>
  </w:style>
  <w:style w:type="paragraph" w:styleId="BalloonText">
    <w:name w:val="Balloon Text"/>
    <w:basedOn w:val="Normal"/>
    <w:semiHidden/>
    <w:rsid w:val="00CA5491"/>
    <w:rPr>
      <w:rFonts w:ascii="Tahoma" w:hAnsi="Tahoma" w:cs="Tahoma"/>
      <w:sz w:val="16"/>
      <w:szCs w:val="16"/>
    </w:rPr>
  </w:style>
  <w:style w:type="character" w:styleId="FootnoteReference">
    <w:name w:val="footnote reference"/>
    <w:semiHidden/>
    <w:rsid w:val="00421870"/>
    <w:rPr>
      <w:vertAlign w:val="superscript"/>
    </w:rPr>
  </w:style>
  <w:style w:type="paragraph" w:styleId="BodyText">
    <w:name w:val="Body Text"/>
    <w:basedOn w:val="Normal"/>
    <w:rsid w:val="00FA3B46"/>
    <w:pPr>
      <w:tabs>
        <w:tab w:val="left" w:pos="3402"/>
        <w:tab w:val="left" w:pos="5670"/>
        <w:tab w:val="left" w:pos="7088"/>
        <w:tab w:val="left" w:pos="8222"/>
      </w:tabs>
      <w:jc w:val="center"/>
    </w:pPr>
    <w:rPr>
      <w:b/>
      <w:sz w:val="32"/>
    </w:rPr>
  </w:style>
  <w:style w:type="paragraph" w:styleId="BodyText2">
    <w:name w:val="Body Text 2"/>
    <w:basedOn w:val="Normal"/>
    <w:rsid w:val="00FA3B46"/>
    <w:pPr>
      <w:jc w:val="both"/>
    </w:pPr>
    <w:rPr>
      <w:rFonts w:cs="Arial"/>
      <w:sz w:val="20"/>
      <w:szCs w:val="24"/>
    </w:rPr>
  </w:style>
  <w:style w:type="paragraph" w:styleId="BodyTextIndent">
    <w:name w:val="Body Text Indent"/>
    <w:basedOn w:val="Normal"/>
    <w:rsid w:val="003B5185"/>
    <w:pPr>
      <w:spacing w:after="120"/>
      <w:ind w:left="283"/>
    </w:pPr>
    <w:rPr>
      <w:rFonts w:ascii="Times New Roman" w:hAnsi="Times New Roman"/>
      <w:szCs w:val="24"/>
    </w:rPr>
  </w:style>
  <w:style w:type="paragraph" w:styleId="EndnoteText">
    <w:name w:val="endnote text"/>
    <w:basedOn w:val="Default"/>
    <w:next w:val="Default"/>
    <w:semiHidden/>
    <w:rsid w:val="003B5185"/>
    <w:pPr>
      <w:widowControl/>
    </w:pPr>
    <w:rPr>
      <w:rFonts w:cs="Times New Roman"/>
      <w:color w:val="auto"/>
    </w:rPr>
  </w:style>
  <w:style w:type="paragraph" w:customStyle="1" w:styleId="-PAGE-">
    <w:name w:val="- PAGE -"/>
    <w:basedOn w:val="Default"/>
    <w:next w:val="Default"/>
    <w:rsid w:val="00257F69"/>
    <w:pPr>
      <w:widowControl/>
    </w:pPr>
    <w:rPr>
      <w:rFonts w:cs="Times New Roman"/>
      <w:color w:val="auto"/>
    </w:rPr>
  </w:style>
  <w:style w:type="paragraph" w:styleId="BodyText3">
    <w:name w:val="Body Text 3"/>
    <w:basedOn w:val="Normal"/>
    <w:rsid w:val="00CF05F4"/>
    <w:pPr>
      <w:spacing w:after="120"/>
    </w:pPr>
    <w:rPr>
      <w:sz w:val="16"/>
      <w:szCs w:val="16"/>
    </w:rPr>
  </w:style>
  <w:style w:type="character" w:customStyle="1" w:styleId="HeaderChar">
    <w:name w:val="Header Char"/>
    <w:link w:val="Header"/>
    <w:rsid w:val="00CF05F4"/>
    <w:rPr>
      <w:rFonts w:ascii="Arial" w:hAnsi="Arial"/>
      <w:sz w:val="24"/>
      <w:lang w:val="en-GB" w:eastAsia="en-US" w:bidi="ar-SA"/>
    </w:rPr>
  </w:style>
  <w:style w:type="paragraph" w:customStyle="1" w:styleId="msolistparagraph0">
    <w:name w:val="msolistparagraph"/>
    <w:basedOn w:val="Normal"/>
    <w:rsid w:val="009A022F"/>
    <w:pPr>
      <w:ind w:left="720"/>
    </w:pPr>
    <w:rPr>
      <w:rFonts w:ascii="Calibri" w:eastAsia="Calibri" w:hAnsi="Calibri"/>
      <w:sz w:val="22"/>
      <w:szCs w:val="22"/>
      <w:lang w:val="en-US"/>
    </w:rPr>
  </w:style>
  <w:style w:type="paragraph" w:styleId="NoSpacing">
    <w:name w:val="No Spacing"/>
    <w:uiPriority w:val="1"/>
    <w:qFormat/>
    <w:rsid w:val="00F8524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4388">
      <w:bodyDiv w:val="1"/>
      <w:marLeft w:val="0"/>
      <w:marRight w:val="0"/>
      <w:marTop w:val="0"/>
      <w:marBottom w:val="0"/>
      <w:divBdr>
        <w:top w:val="none" w:sz="0" w:space="0" w:color="auto"/>
        <w:left w:val="none" w:sz="0" w:space="0" w:color="auto"/>
        <w:bottom w:val="none" w:sz="0" w:space="0" w:color="auto"/>
        <w:right w:val="none" w:sz="0" w:space="0" w:color="auto"/>
      </w:divBdr>
    </w:div>
    <w:div w:id="595751347">
      <w:bodyDiv w:val="1"/>
      <w:marLeft w:val="80"/>
      <w:marRight w:val="80"/>
      <w:marTop w:val="80"/>
      <w:marBottom w:val="20"/>
      <w:divBdr>
        <w:top w:val="none" w:sz="0" w:space="0" w:color="auto"/>
        <w:left w:val="none" w:sz="0" w:space="0" w:color="auto"/>
        <w:bottom w:val="none" w:sz="0" w:space="0" w:color="auto"/>
        <w:right w:val="none" w:sz="0" w:space="0" w:color="auto"/>
      </w:divBdr>
      <w:divsChild>
        <w:div w:id="349142089">
          <w:marLeft w:val="0"/>
          <w:marRight w:val="0"/>
          <w:marTop w:val="0"/>
          <w:marBottom w:val="0"/>
          <w:divBdr>
            <w:top w:val="none" w:sz="0" w:space="0" w:color="auto"/>
            <w:left w:val="none" w:sz="0" w:space="0" w:color="auto"/>
            <w:bottom w:val="none" w:sz="0" w:space="0" w:color="auto"/>
            <w:right w:val="none" w:sz="0" w:space="0" w:color="auto"/>
          </w:divBdr>
        </w:div>
        <w:div w:id="717317129">
          <w:marLeft w:val="0"/>
          <w:marRight w:val="0"/>
          <w:marTop w:val="0"/>
          <w:marBottom w:val="0"/>
          <w:divBdr>
            <w:top w:val="none" w:sz="0" w:space="0" w:color="auto"/>
            <w:left w:val="none" w:sz="0" w:space="0" w:color="auto"/>
            <w:bottom w:val="none" w:sz="0" w:space="0" w:color="auto"/>
            <w:right w:val="none" w:sz="0" w:space="0" w:color="auto"/>
          </w:divBdr>
        </w:div>
        <w:div w:id="1642223209">
          <w:marLeft w:val="0"/>
          <w:marRight w:val="0"/>
          <w:marTop w:val="0"/>
          <w:marBottom w:val="0"/>
          <w:divBdr>
            <w:top w:val="none" w:sz="0" w:space="0" w:color="auto"/>
            <w:left w:val="none" w:sz="0" w:space="0" w:color="auto"/>
            <w:bottom w:val="none" w:sz="0" w:space="0" w:color="auto"/>
            <w:right w:val="none" w:sz="0" w:space="0" w:color="auto"/>
          </w:divBdr>
        </w:div>
      </w:divsChild>
    </w:div>
    <w:div w:id="1821772013">
      <w:bodyDiv w:val="1"/>
      <w:marLeft w:val="80"/>
      <w:marRight w:val="80"/>
      <w:marTop w:val="80"/>
      <w:marBottom w:val="20"/>
      <w:divBdr>
        <w:top w:val="none" w:sz="0" w:space="0" w:color="auto"/>
        <w:left w:val="none" w:sz="0" w:space="0" w:color="auto"/>
        <w:bottom w:val="none" w:sz="0" w:space="0" w:color="auto"/>
        <w:right w:val="none" w:sz="0" w:space="0" w:color="auto"/>
      </w:divBdr>
      <w:divsChild>
        <w:div w:id="1249729395">
          <w:marLeft w:val="0"/>
          <w:marRight w:val="0"/>
          <w:marTop w:val="0"/>
          <w:marBottom w:val="0"/>
          <w:divBdr>
            <w:top w:val="none" w:sz="0" w:space="0" w:color="auto"/>
            <w:left w:val="none" w:sz="0" w:space="0" w:color="auto"/>
            <w:bottom w:val="none" w:sz="0" w:space="0" w:color="auto"/>
            <w:right w:val="none" w:sz="0" w:space="0" w:color="auto"/>
          </w:divBdr>
        </w:div>
        <w:div w:id="1352074189">
          <w:marLeft w:val="0"/>
          <w:marRight w:val="0"/>
          <w:marTop w:val="0"/>
          <w:marBottom w:val="0"/>
          <w:divBdr>
            <w:top w:val="none" w:sz="0" w:space="0" w:color="auto"/>
            <w:left w:val="none" w:sz="0" w:space="0" w:color="auto"/>
            <w:bottom w:val="none" w:sz="0" w:space="0" w:color="auto"/>
            <w:right w:val="none" w:sz="0" w:space="0" w:color="auto"/>
          </w:divBdr>
        </w:div>
        <w:div w:id="1881672056">
          <w:marLeft w:val="0"/>
          <w:marRight w:val="0"/>
          <w:marTop w:val="0"/>
          <w:marBottom w:val="0"/>
          <w:divBdr>
            <w:top w:val="none" w:sz="0" w:space="0" w:color="auto"/>
            <w:left w:val="none" w:sz="0" w:space="0" w:color="auto"/>
            <w:bottom w:val="none" w:sz="0" w:space="0" w:color="auto"/>
            <w:right w:val="none" w:sz="0" w:space="0" w:color="auto"/>
          </w:divBdr>
        </w:div>
        <w:div w:id="2007198130">
          <w:marLeft w:val="0"/>
          <w:marRight w:val="0"/>
          <w:marTop w:val="0"/>
          <w:marBottom w:val="0"/>
          <w:divBdr>
            <w:top w:val="none" w:sz="0" w:space="0" w:color="auto"/>
            <w:left w:val="none" w:sz="0" w:space="0" w:color="auto"/>
            <w:bottom w:val="none" w:sz="0" w:space="0" w:color="auto"/>
            <w:right w:val="none" w:sz="0" w:space="0" w:color="auto"/>
          </w:divBdr>
        </w:div>
        <w:div w:id="206467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1403</Words>
  <Characters>7999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HARROW COUNCIL</vt:lpstr>
    </vt:vector>
  </TitlesOfParts>
  <Company>Harrow Council</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dc:title>
  <dc:subject/>
  <dc:creator>FJagani</dc:creator>
  <cp:keywords/>
  <cp:lastModifiedBy>Mwimanji Chellah</cp:lastModifiedBy>
  <cp:revision>2</cp:revision>
  <cp:lastPrinted>2017-03-22T15:07:00Z</cp:lastPrinted>
  <dcterms:created xsi:type="dcterms:W3CDTF">2022-03-16T12:11:00Z</dcterms:created>
  <dcterms:modified xsi:type="dcterms:W3CDTF">2022-03-16T12:11:00Z</dcterms:modified>
</cp:coreProperties>
</file>